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C3CB11" w14:textId="4299AA6E" w:rsidR="003C4032" w:rsidRPr="00485003" w:rsidRDefault="003C4032" w:rsidP="00402ACA">
      <w:pPr>
        <w:tabs>
          <w:tab w:val="center" w:pos="4536"/>
          <w:tab w:val="right" w:pos="9072"/>
        </w:tabs>
        <w:spacing w:after="0" w:line="240" w:lineRule="auto"/>
        <w:jc w:val="right"/>
        <w:rPr>
          <w:rFonts w:ascii="Times New Roman" w:eastAsia="Calibri" w:hAnsi="Times New Roman"/>
          <w:b/>
          <w:i/>
          <w:sz w:val="24"/>
          <w:szCs w:val="24"/>
          <w:highlight w:val="yellow"/>
          <w:lang w:val="en-US"/>
        </w:rPr>
      </w:pPr>
    </w:p>
    <w:p w14:paraId="7520FFC5" w14:textId="7AD4594D" w:rsidR="00402ACA" w:rsidRPr="00485003" w:rsidRDefault="00402ACA" w:rsidP="00402ACA">
      <w:pPr>
        <w:tabs>
          <w:tab w:val="center" w:pos="4536"/>
          <w:tab w:val="right" w:pos="9072"/>
        </w:tabs>
        <w:spacing w:after="0" w:line="240" w:lineRule="auto"/>
        <w:jc w:val="right"/>
        <w:rPr>
          <w:rFonts w:ascii="Times New Roman" w:eastAsia="Calibri" w:hAnsi="Times New Roman"/>
          <w:b/>
          <w:i/>
          <w:sz w:val="24"/>
          <w:szCs w:val="24"/>
          <w:lang w:val="en-US"/>
        </w:rPr>
      </w:pPr>
      <w:r w:rsidRPr="00485003">
        <w:rPr>
          <w:rFonts w:ascii="Times New Roman" w:eastAsia="Calibri" w:hAnsi="Times New Roman"/>
          <w:b/>
          <w:i/>
          <w:sz w:val="24"/>
          <w:szCs w:val="24"/>
        </w:rPr>
        <w:t>Приложение</w:t>
      </w:r>
      <w:r w:rsidR="00F150D2" w:rsidRPr="00485003">
        <w:rPr>
          <w:rFonts w:ascii="Times New Roman" w:eastAsia="Calibri" w:hAnsi="Times New Roman"/>
          <w:b/>
          <w:i/>
          <w:sz w:val="24"/>
          <w:szCs w:val="24"/>
        </w:rPr>
        <w:t xml:space="preserve"> </w:t>
      </w:r>
      <w:r w:rsidR="002D0B25" w:rsidRPr="00485003">
        <w:rPr>
          <w:rFonts w:ascii="Times New Roman" w:eastAsia="Calibri" w:hAnsi="Times New Roman"/>
          <w:b/>
          <w:i/>
          <w:sz w:val="24"/>
          <w:szCs w:val="24"/>
          <w:lang w:val="en-US"/>
        </w:rPr>
        <w:t>6</w:t>
      </w:r>
    </w:p>
    <w:p w14:paraId="0E012626" w14:textId="77777777" w:rsidR="00402ACA" w:rsidRPr="00485003" w:rsidRDefault="00402ACA" w:rsidP="00402ACA">
      <w:pPr>
        <w:spacing w:after="120" w:line="276" w:lineRule="auto"/>
        <w:jc w:val="both"/>
        <w:rPr>
          <w:rFonts w:ascii="Times New Roman" w:hAnsi="Times New Roman"/>
          <w:sz w:val="24"/>
          <w:szCs w:val="24"/>
        </w:rPr>
      </w:pPr>
    </w:p>
    <w:p w14:paraId="5D2143C3" w14:textId="09037CC8" w:rsidR="00402ACA" w:rsidRPr="00485003" w:rsidRDefault="003F11B3" w:rsidP="00E44CEF">
      <w:pPr>
        <w:spacing w:after="120" w:line="276" w:lineRule="auto"/>
        <w:jc w:val="center"/>
        <w:rPr>
          <w:rFonts w:ascii="Times New Roman" w:hAnsi="Times New Roman"/>
          <w:b/>
          <w:sz w:val="24"/>
          <w:szCs w:val="24"/>
        </w:rPr>
      </w:pPr>
      <w:r w:rsidRPr="00485003">
        <w:rPr>
          <w:rFonts w:ascii="Times New Roman" w:hAnsi="Times New Roman"/>
          <w:b/>
          <w:sz w:val="24"/>
          <w:szCs w:val="24"/>
        </w:rPr>
        <w:t>ИНФОРМАЦИЯ ОТ</w:t>
      </w:r>
      <w:r w:rsidR="00971248" w:rsidRPr="00485003">
        <w:rPr>
          <w:rFonts w:ascii="Times New Roman" w:hAnsi="Times New Roman"/>
          <w:b/>
          <w:sz w:val="24"/>
          <w:szCs w:val="24"/>
        </w:rPr>
        <w:t>Н</w:t>
      </w:r>
      <w:r w:rsidRPr="00485003">
        <w:rPr>
          <w:rFonts w:ascii="Times New Roman" w:hAnsi="Times New Roman"/>
          <w:b/>
          <w:sz w:val="24"/>
          <w:szCs w:val="24"/>
        </w:rPr>
        <w:t xml:space="preserve">ОСНО СПАЗВАНЕ НА </w:t>
      </w:r>
      <w:r w:rsidR="00E44CEF" w:rsidRPr="00485003">
        <w:rPr>
          <w:rFonts w:ascii="Times New Roman" w:hAnsi="Times New Roman"/>
          <w:b/>
          <w:sz w:val="24"/>
          <w:szCs w:val="24"/>
        </w:rPr>
        <w:t>ПРИНЦИП</w:t>
      </w:r>
      <w:r w:rsidRPr="00485003">
        <w:rPr>
          <w:rFonts w:ascii="Times New Roman" w:hAnsi="Times New Roman"/>
          <w:b/>
          <w:sz w:val="24"/>
          <w:szCs w:val="24"/>
        </w:rPr>
        <w:t>А</w:t>
      </w:r>
      <w:r w:rsidR="00E44CEF" w:rsidRPr="00485003">
        <w:rPr>
          <w:rFonts w:ascii="Times New Roman" w:hAnsi="Times New Roman"/>
          <w:b/>
          <w:sz w:val="24"/>
          <w:szCs w:val="24"/>
        </w:rPr>
        <w:t xml:space="preserve"> ЗА </w:t>
      </w:r>
      <w:r w:rsidR="005C6AC1" w:rsidRPr="00485003">
        <w:rPr>
          <w:rFonts w:ascii="Times New Roman" w:hAnsi="Times New Roman"/>
          <w:b/>
          <w:sz w:val="24"/>
          <w:szCs w:val="24"/>
        </w:rPr>
        <w:t>„</w:t>
      </w:r>
      <w:r w:rsidR="002665DE" w:rsidRPr="00485003">
        <w:rPr>
          <w:rFonts w:ascii="Times New Roman" w:hAnsi="Times New Roman"/>
          <w:b/>
          <w:sz w:val="24"/>
          <w:szCs w:val="24"/>
        </w:rPr>
        <w:t>НЕНАНАСЯНЕ НА ЗНАЧИТЕЛНИ ВРЕДИ</w:t>
      </w:r>
      <w:r w:rsidR="002665DE" w:rsidRPr="00485003">
        <w:rPr>
          <w:rFonts w:ascii="Times New Roman" w:hAnsi="Times New Roman"/>
          <w:b/>
          <w:sz w:val="24"/>
          <w:szCs w:val="24"/>
          <w:lang w:val="en-US"/>
        </w:rPr>
        <w:t>”</w:t>
      </w:r>
      <w:r w:rsidR="001303E1">
        <w:rPr>
          <w:rFonts w:ascii="Times New Roman" w:hAnsi="Times New Roman"/>
          <w:b/>
          <w:sz w:val="24"/>
          <w:szCs w:val="24"/>
          <w:lang w:val="en-US"/>
        </w:rPr>
        <w:t xml:space="preserve"> (</w:t>
      </w:r>
      <w:r w:rsidR="001303E1">
        <w:rPr>
          <w:rFonts w:ascii="Times New Roman" w:hAnsi="Times New Roman"/>
          <w:b/>
          <w:sz w:val="24"/>
          <w:szCs w:val="24"/>
        </w:rPr>
        <w:t xml:space="preserve">НЗВ или </w:t>
      </w:r>
      <w:r w:rsidR="001303E1">
        <w:rPr>
          <w:rFonts w:ascii="Times New Roman" w:hAnsi="Times New Roman"/>
          <w:b/>
          <w:sz w:val="24"/>
          <w:szCs w:val="24"/>
          <w:lang w:val="en-US"/>
        </w:rPr>
        <w:t>DNSH)</w:t>
      </w:r>
    </w:p>
    <w:p w14:paraId="31567C39" w14:textId="37DB8A5D" w:rsidR="002D0B25" w:rsidRPr="00485003" w:rsidRDefault="002D0B25" w:rsidP="00E44CEF">
      <w:pPr>
        <w:spacing w:after="120" w:line="276" w:lineRule="auto"/>
        <w:ind w:firstLine="709"/>
        <w:jc w:val="both"/>
        <w:rPr>
          <w:rFonts w:ascii="Times New Roman" w:hAnsi="Times New Roman"/>
          <w:sz w:val="24"/>
          <w:szCs w:val="24"/>
        </w:rPr>
      </w:pPr>
    </w:p>
    <w:p w14:paraId="66FCF859" w14:textId="3F72C759" w:rsidR="00A721A0" w:rsidRPr="00485003" w:rsidRDefault="00402ACA" w:rsidP="00E44CEF">
      <w:pPr>
        <w:spacing w:after="120" w:line="276" w:lineRule="auto"/>
        <w:ind w:firstLine="709"/>
        <w:jc w:val="both"/>
        <w:rPr>
          <w:rFonts w:ascii="Times New Roman" w:hAnsi="Times New Roman"/>
          <w:sz w:val="24"/>
          <w:szCs w:val="24"/>
        </w:rPr>
      </w:pPr>
      <w:r w:rsidRPr="00485003">
        <w:rPr>
          <w:rFonts w:ascii="Times New Roman" w:hAnsi="Times New Roman"/>
          <w:sz w:val="24"/>
          <w:szCs w:val="24"/>
        </w:rPr>
        <w:t xml:space="preserve">Регламентът за създаване на Механизъм за възстановяване и устойчивост </w:t>
      </w:r>
      <w:r w:rsidR="003A35BB" w:rsidRPr="00485003">
        <w:rPr>
          <w:rFonts w:ascii="Times New Roman" w:hAnsi="Times New Roman"/>
          <w:sz w:val="24"/>
          <w:szCs w:val="24"/>
        </w:rPr>
        <w:t xml:space="preserve">(МВУ) </w:t>
      </w:r>
      <w:r w:rsidRPr="00485003">
        <w:rPr>
          <w:rFonts w:ascii="Times New Roman" w:hAnsi="Times New Roman"/>
          <w:sz w:val="24"/>
          <w:szCs w:val="24"/>
        </w:rPr>
        <w:t xml:space="preserve">предвижда, че нито една мярка, включена в плановете за възстановяване и </w:t>
      </w:r>
      <w:r w:rsidR="00EA0271" w:rsidRPr="00485003">
        <w:rPr>
          <w:rFonts w:ascii="Times New Roman" w:hAnsi="Times New Roman"/>
          <w:sz w:val="24"/>
          <w:szCs w:val="24"/>
        </w:rPr>
        <w:t>устойчивост на държавите-членки</w:t>
      </w:r>
      <w:r w:rsidRPr="00485003">
        <w:rPr>
          <w:rFonts w:ascii="Times New Roman" w:hAnsi="Times New Roman"/>
          <w:sz w:val="24"/>
          <w:szCs w:val="24"/>
        </w:rPr>
        <w:t xml:space="preserve"> не трябва да води до значителни вреди за екологичните цели по смисъла на </w:t>
      </w:r>
      <w:r w:rsidR="005C6AC1" w:rsidRPr="00485003">
        <w:rPr>
          <w:rFonts w:ascii="Times New Roman" w:hAnsi="Times New Roman"/>
          <w:sz w:val="24"/>
          <w:szCs w:val="24"/>
        </w:rPr>
        <w:t>Регламент (ЕС) 2020/852 на Европейския парламент и на Съвета от 18 юни 2020 година за създаване на рамка за улесняване на устойчивите инвестиции и за изменение на Регламент (ЕС) 2019/2088 (</w:t>
      </w:r>
      <w:r w:rsidRPr="00485003">
        <w:rPr>
          <w:rFonts w:ascii="Times New Roman" w:hAnsi="Times New Roman"/>
          <w:sz w:val="24"/>
          <w:szCs w:val="24"/>
        </w:rPr>
        <w:t>Регламент</w:t>
      </w:r>
      <w:r w:rsidR="005C6AC1" w:rsidRPr="00485003">
        <w:rPr>
          <w:rFonts w:ascii="Times New Roman" w:hAnsi="Times New Roman"/>
          <w:sz w:val="24"/>
          <w:szCs w:val="24"/>
        </w:rPr>
        <w:t>а</w:t>
      </w:r>
      <w:r w:rsidRPr="00485003">
        <w:rPr>
          <w:rFonts w:ascii="Times New Roman" w:hAnsi="Times New Roman"/>
          <w:sz w:val="24"/>
          <w:szCs w:val="24"/>
        </w:rPr>
        <w:t xml:space="preserve"> за таксономия</w:t>
      </w:r>
      <w:r w:rsidR="005C6AC1" w:rsidRPr="00485003">
        <w:rPr>
          <w:rFonts w:ascii="Times New Roman" w:hAnsi="Times New Roman"/>
          <w:sz w:val="24"/>
          <w:szCs w:val="24"/>
        </w:rPr>
        <w:t>та)</w:t>
      </w:r>
      <w:r w:rsidRPr="00485003">
        <w:rPr>
          <w:rFonts w:ascii="Times New Roman" w:hAnsi="Times New Roman"/>
          <w:sz w:val="24"/>
          <w:szCs w:val="24"/>
        </w:rPr>
        <w:t>.</w:t>
      </w:r>
      <w:r w:rsidRPr="00485003">
        <w:rPr>
          <w:rFonts w:ascii="Times New Roman" w:eastAsia="Times New Roman" w:hAnsi="Times New Roman"/>
          <w:sz w:val="24"/>
          <w:szCs w:val="24"/>
        </w:rPr>
        <w:t xml:space="preserve"> </w:t>
      </w:r>
      <w:r w:rsidRPr="00485003">
        <w:rPr>
          <w:rFonts w:ascii="Times New Roman" w:hAnsi="Times New Roman"/>
          <w:sz w:val="24"/>
          <w:szCs w:val="24"/>
        </w:rPr>
        <w:t>На база посоченото, всички мерки, включени в Националния план за възстановяване и устойчивост на България</w:t>
      </w:r>
      <w:r w:rsidR="00AD22F2" w:rsidRPr="00485003">
        <w:rPr>
          <w:rFonts w:ascii="Times New Roman" w:hAnsi="Times New Roman"/>
          <w:sz w:val="24"/>
          <w:szCs w:val="24"/>
        </w:rPr>
        <w:t xml:space="preserve"> (НПВУ)</w:t>
      </w:r>
      <w:r w:rsidRPr="00485003">
        <w:rPr>
          <w:rFonts w:ascii="Times New Roman" w:hAnsi="Times New Roman"/>
          <w:sz w:val="24"/>
          <w:szCs w:val="24"/>
        </w:rPr>
        <w:t xml:space="preserve">, следва да допринасят за екологичния преход като отчитат </w:t>
      </w:r>
      <w:r w:rsidRPr="00485003">
        <w:rPr>
          <w:rFonts w:ascii="Times New Roman" w:hAnsi="Times New Roman"/>
          <w:b/>
          <w:sz w:val="24"/>
          <w:szCs w:val="24"/>
        </w:rPr>
        <w:t>шестте екологични цели</w:t>
      </w:r>
      <w:r w:rsidRPr="00485003">
        <w:rPr>
          <w:rFonts w:ascii="Times New Roman" w:hAnsi="Times New Roman"/>
          <w:sz w:val="24"/>
          <w:szCs w:val="24"/>
        </w:rPr>
        <w:t xml:space="preserve">, заложени в </w:t>
      </w:r>
      <w:r w:rsidR="003A35BB" w:rsidRPr="00485003">
        <w:rPr>
          <w:rFonts w:ascii="Times New Roman" w:hAnsi="Times New Roman"/>
          <w:sz w:val="24"/>
          <w:szCs w:val="24"/>
        </w:rPr>
        <w:t xml:space="preserve">чл. 9 от </w:t>
      </w:r>
      <w:r w:rsidRPr="00485003">
        <w:rPr>
          <w:rFonts w:ascii="Times New Roman" w:hAnsi="Times New Roman"/>
          <w:sz w:val="24"/>
          <w:szCs w:val="24"/>
        </w:rPr>
        <w:t>Регламента за таксономията</w:t>
      </w:r>
      <w:r w:rsidR="00A721A0" w:rsidRPr="00485003">
        <w:rPr>
          <w:rFonts w:ascii="Times New Roman" w:hAnsi="Times New Roman"/>
          <w:sz w:val="24"/>
          <w:szCs w:val="24"/>
        </w:rPr>
        <w:t>:</w:t>
      </w:r>
    </w:p>
    <w:p w14:paraId="11D0689E" w14:textId="77777777" w:rsidR="00A721A0" w:rsidRPr="00485003" w:rsidRDefault="00A721A0" w:rsidP="00A721A0">
      <w:pPr>
        <w:spacing w:after="120" w:line="276" w:lineRule="auto"/>
        <w:ind w:firstLine="709"/>
        <w:jc w:val="both"/>
        <w:rPr>
          <w:rFonts w:ascii="Times New Roman" w:hAnsi="Times New Roman"/>
          <w:sz w:val="24"/>
          <w:szCs w:val="24"/>
        </w:rPr>
      </w:pPr>
      <w:r w:rsidRPr="00485003">
        <w:rPr>
          <w:rFonts w:ascii="Times New Roman" w:hAnsi="Times New Roman"/>
          <w:sz w:val="24"/>
          <w:szCs w:val="24"/>
        </w:rPr>
        <w:t>1) смекчаване на изменението на климата;</w:t>
      </w:r>
    </w:p>
    <w:p w14:paraId="034A39AA" w14:textId="77777777" w:rsidR="00A721A0" w:rsidRPr="00485003" w:rsidRDefault="00A721A0" w:rsidP="00A721A0">
      <w:pPr>
        <w:spacing w:after="120" w:line="276" w:lineRule="auto"/>
        <w:ind w:firstLine="709"/>
        <w:jc w:val="both"/>
        <w:rPr>
          <w:rFonts w:ascii="Times New Roman" w:hAnsi="Times New Roman"/>
          <w:sz w:val="24"/>
          <w:szCs w:val="24"/>
        </w:rPr>
      </w:pPr>
      <w:r w:rsidRPr="00485003">
        <w:rPr>
          <w:rFonts w:ascii="Times New Roman" w:hAnsi="Times New Roman"/>
          <w:sz w:val="24"/>
          <w:szCs w:val="24"/>
        </w:rPr>
        <w:t>2) адаптиране към изменението на климата;</w:t>
      </w:r>
    </w:p>
    <w:p w14:paraId="5192CE14" w14:textId="77777777" w:rsidR="00A721A0" w:rsidRPr="00485003" w:rsidRDefault="00A721A0" w:rsidP="00A721A0">
      <w:pPr>
        <w:spacing w:after="120" w:line="276" w:lineRule="auto"/>
        <w:ind w:firstLine="709"/>
        <w:jc w:val="both"/>
        <w:rPr>
          <w:rFonts w:ascii="Times New Roman" w:hAnsi="Times New Roman"/>
          <w:sz w:val="24"/>
          <w:szCs w:val="24"/>
        </w:rPr>
      </w:pPr>
      <w:r w:rsidRPr="00485003">
        <w:rPr>
          <w:rFonts w:ascii="Times New Roman" w:hAnsi="Times New Roman"/>
          <w:sz w:val="24"/>
          <w:szCs w:val="24"/>
        </w:rPr>
        <w:t>3) устойчиво използване и опазване на водните и морските ресурси;</w:t>
      </w:r>
    </w:p>
    <w:p w14:paraId="07F8AC43" w14:textId="77777777" w:rsidR="00A721A0" w:rsidRPr="00485003" w:rsidRDefault="00A721A0" w:rsidP="00A721A0">
      <w:pPr>
        <w:spacing w:after="120" w:line="276" w:lineRule="auto"/>
        <w:ind w:firstLine="709"/>
        <w:jc w:val="both"/>
        <w:rPr>
          <w:rFonts w:ascii="Times New Roman" w:hAnsi="Times New Roman"/>
          <w:sz w:val="24"/>
          <w:szCs w:val="24"/>
        </w:rPr>
      </w:pPr>
      <w:r w:rsidRPr="00485003">
        <w:rPr>
          <w:rFonts w:ascii="Times New Roman" w:hAnsi="Times New Roman"/>
          <w:sz w:val="24"/>
          <w:szCs w:val="24"/>
        </w:rPr>
        <w:t>4) преход към кръгова икономика;</w:t>
      </w:r>
    </w:p>
    <w:p w14:paraId="69F54C65" w14:textId="77777777" w:rsidR="00A721A0" w:rsidRPr="00485003" w:rsidRDefault="00A721A0" w:rsidP="00A721A0">
      <w:pPr>
        <w:spacing w:after="120" w:line="276" w:lineRule="auto"/>
        <w:ind w:firstLine="709"/>
        <w:jc w:val="both"/>
        <w:rPr>
          <w:rFonts w:ascii="Times New Roman" w:hAnsi="Times New Roman"/>
          <w:sz w:val="24"/>
          <w:szCs w:val="24"/>
        </w:rPr>
      </w:pPr>
      <w:r w:rsidRPr="00485003">
        <w:rPr>
          <w:rFonts w:ascii="Times New Roman" w:hAnsi="Times New Roman"/>
          <w:sz w:val="24"/>
          <w:szCs w:val="24"/>
        </w:rPr>
        <w:t>5) предотвратяване и контрол на замърсяването;</w:t>
      </w:r>
    </w:p>
    <w:p w14:paraId="0280B887" w14:textId="77777777" w:rsidR="00A721A0" w:rsidRPr="00485003" w:rsidRDefault="00A721A0" w:rsidP="00A721A0">
      <w:pPr>
        <w:spacing w:after="120" w:line="276" w:lineRule="auto"/>
        <w:ind w:firstLine="709"/>
        <w:jc w:val="both"/>
        <w:rPr>
          <w:rFonts w:ascii="Times New Roman" w:hAnsi="Times New Roman"/>
          <w:sz w:val="24"/>
          <w:szCs w:val="24"/>
        </w:rPr>
      </w:pPr>
      <w:r w:rsidRPr="00485003">
        <w:rPr>
          <w:rFonts w:ascii="Times New Roman" w:hAnsi="Times New Roman"/>
          <w:sz w:val="24"/>
          <w:szCs w:val="24"/>
        </w:rPr>
        <w:t>6) защита и възстановяване на биологичното разнообразие и екосистеми</w:t>
      </w:r>
      <w:r w:rsidR="006564B8" w:rsidRPr="00485003">
        <w:rPr>
          <w:rFonts w:ascii="Times New Roman" w:hAnsi="Times New Roman"/>
          <w:sz w:val="24"/>
          <w:szCs w:val="24"/>
        </w:rPr>
        <w:t>те</w:t>
      </w:r>
      <w:r w:rsidRPr="00485003">
        <w:rPr>
          <w:rFonts w:ascii="Times New Roman" w:hAnsi="Times New Roman"/>
          <w:sz w:val="24"/>
          <w:szCs w:val="24"/>
        </w:rPr>
        <w:t>.</w:t>
      </w:r>
    </w:p>
    <w:p w14:paraId="1F33D3DC" w14:textId="77777777" w:rsidR="00AD22F2" w:rsidRPr="00485003" w:rsidRDefault="006564B8" w:rsidP="00E44CEF">
      <w:pPr>
        <w:spacing w:after="120" w:line="276" w:lineRule="auto"/>
        <w:ind w:firstLine="709"/>
        <w:jc w:val="both"/>
        <w:rPr>
          <w:rFonts w:ascii="Times New Roman" w:hAnsi="Times New Roman"/>
          <w:sz w:val="24"/>
          <w:szCs w:val="24"/>
        </w:rPr>
      </w:pPr>
      <w:r w:rsidRPr="00485003">
        <w:rPr>
          <w:rFonts w:ascii="Times New Roman" w:hAnsi="Times New Roman"/>
          <w:sz w:val="24"/>
          <w:szCs w:val="24"/>
        </w:rPr>
        <w:t>В тази връзка</w:t>
      </w:r>
      <w:r w:rsidR="00AD22F2" w:rsidRPr="00485003">
        <w:rPr>
          <w:rFonts w:ascii="Times New Roman" w:hAnsi="Times New Roman"/>
          <w:sz w:val="24"/>
          <w:szCs w:val="24"/>
        </w:rPr>
        <w:t>, всяка една инвестиция по НПВУ следва да бъде в съответствие с принципа за „ненанасяне на значителни вреди</w:t>
      </w:r>
      <w:r w:rsidR="00A233EA" w:rsidRPr="00485003">
        <w:rPr>
          <w:rFonts w:ascii="Times New Roman" w:hAnsi="Times New Roman"/>
          <w:sz w:val="24"/>
          <w:szCs w:val="24"/>
          <w:lang w:val="en-US"/>
        </w:rPr>
        <w:t>”</w:t>
      </w:r>
      <w:r w:rsidR="00402ACA" w:rsidRPr="00485003">
        <w:rPr>
          <w:rFonts w:ascii="Times New Roman" w:hAnsi="Times New Roman"/>
          <w:sz w:val="24"/>
          <w:szCs w:val="24"/>
        </w:rPr>
        <w:t>.</w:t>
      </w:r>
    </w:p>
    <w:p w14:paraId="225356F9" w14:textId="77777777" w:rsidR="003A35BB" w:rsidRPr="00485003" w:rsidRDefault="003A35BB" w:rsidP="00E44CEF">
      <w:pPr>
        <w:spacing w:after="120" w:line="276" w:lineRule="auto"/>
        <w:ind w:firstLine="709"/>
        <w:jc w:val="both"/>
        <w:rPr>
          <w:rFonts w:ascii="Times New Roman" w:hAnsi="Times New Roman"/>
          <w:sz w:val="24"/>
          <w:szCs w:val="24"/>
        </w:rPr>
      </w:pPr>
      <w:r w:rsidRPr="00485003">
        <w:rPr>
          <w:rFonts w:ascii="Times New Roman" w:hAnsi="Times New Roman"/>
          <w:sz w:val="24"/>
          <w:szCs w:val="24"/>
        </w:rPr>
        <w:t>За целите на Регламента за М</w:t>
      </w:r>
      <w:r w:rsidR="00B4545E" w:rsidRPr="00485003">
        <w:rPr>
          <w:rFonts w:ascii="Times New Roman" w:hAnsi="Times New Roman"/>
          <w:sz w:val="24"/>
          <w:szCs w:val="24"/>
        </w:rPr>
        <w:t>еханизма за възстановяване и устойчивост</w:t>
      </w:r>
      <w:r w:rsidR="00B4545E" w:rsidRPr="00485003">
        <w:rPr>
          <w:rStyle w:val="FootnoteReference"/>
          <w:rFonts w:ascii="Times New Roman" w:hAnsi="Times New Roman"/>
          <w:sz w:val="24"/>
          <w:szCs w:val="24"/>
        </w:rPr>
        <w:footnoteReference w:id="1"/>
      </w:r>
      <w:r w:rsidRPr="00485003">
        <w:rPr>
          <w:rFonts w:ascii="Times New Roman" w:hAnsi="Times New Roman"/>
          <w:sz w:val="24"/>
          <w:szCs w:val="24"/>
        </w:rPr>
        <w:t xml:space="preserve"> принципът за „ненанасяне на значителни вреди</w:t>
      </w:r>
      <w:r w:rsidR="00A233EA" w:rsidRPr="00485003">
        <w:rPr>
          <w:rFonts w:ascii="Times New Roman" w:hAnsi="Times New Roman"/>
          <w:sz w:val="24"/>
          <w:szCs w:val="24"/>
          <w:lang w:val="en-US"/>
        </w:rPr>
        <w:t>”</w:t>
      </w:r>
      <w:r w:rsidRPr="00485003">
        <w:rPr>
          <w:rFonts w:ascii="Times New Roman" w:hAnsi="Times New Roman"/>
          <w:sz w:val="24"/>
          <w:szCs w:val="24"/>
        </w:rPr>
        <w:t xml:space="preserve"> трябва да се тълкува по смисъла на чл. 17 от Регламента за таксономията, в който се определя какво</w:t>
      </w:r>
      <w:r w:rsidR="00397070" w:rsidRPr="00485003">
        <w:rPr>
          <w:rFonts w:ascii="Times New Roman" w:hAnsi="Times New Roman"/>
          <w:sz w:val="24"/>
          <w:szCs w:val="24"/>
        </w:rPr>
        <w:t xml:space="preserve"> представлява „значителна вреда</w:t>
      </w:r>
      <w:r w:rsidR="00397070" w:rsidRPr="00485003">
        <w:rPr>
          <w:rFonts w:ascii="Times New Roman" w:hAnsi="Times New Roman"/>
          <w:sz w:val="24"/>
          <w:szCs w:val="24"/>
          <w:lang w:val="en-US"/>
        </w:rPr>
        <w:t>”</w:t>
      </w:r>
      <w:r w:rsidRPr="00485003">
        <w:rPr>
          <w:rFonts w:ascii="Times New Roman" w:hAnsi="Times New Roman"/>
          <w:sz w:val="24"/>
          <w:szCs w:val="24"/>
        </w:rPr>
        <w:t xml:space="preserve"> за шестте екологични цели, обхванати </w:t>
      </w:r>
      <w:r w:rsidR="002262CD" w:rsidRPr="00485003">
        <w:rPr>
          <w:rFonts w:ascii="Times New Roman" w:hAnsi="Times New Roman"/>
          <w:sz w:val="24"/>
          <w:szCs w:val="24"/>
        </w:rPr>
        <w:t>в него</w:t>
      </w:r>
      <w:r w:rsidRPr="00485003">
        <w:rPr>
          <w:rFonts w:ascii="Times New Roman" w:hAnsi="Times New Roman"/>
          <w:sz w:val="24"/>
          <w:szCs w:val="24"/>
        </w:rPr>
        <w:t xml:space="preserve">. </w:t>
      </w:r>
      <w:r w:rsidR="002262CD" w:rsidRPr="00485003">
        <w:rPr>
          <w:rFonts w:ascii="Times New Roman" w:hAnsi="Times New Roman"/>
          <w:sz w:val="24"/>
          <w:szCs w:val="24"/>
        </w:rPr>
        <w:t xml:space="preserve">В тази връзка, </w:t>
      </w:r>
      <w:r w:rsidRPr="00485003">
        <w:rPr>
          <w:rFonts w:ascii="Times New Roman" w:hAnsi="Times New Roman"/>
          <w:sz w:val="24"/>
          <w:szCs w:val="24"/>
        </w:rPr>
        <w:t xml:space="preserve">като се отчита </w:t>
      </w:r>
      <w:r w:rsidR="002262CD" w:rsidRPr="00485003">
        <w:rPr>
          <w:rFonts w:ascii="Times New Roman" w:hAnsi="Times New Roman"/>
          <w:sz w:val="24"/>
          <w:szCs w:val="24"/>
        </w:rPr>
        <w:t xml:space="preserve">целият </w:t>
      </w:r>
      <w:r w:rsidRPr="00485003">
        <w:rPr>
          <w:rFonts w:ascii="Times New Roman" w:hAnsi="Times New Roman"/>
          <w:sz w:val="24"/>
          <w:szCs w:val="24"/>
        </w:rPr>
        <w:t>жизнен цикъл на продуктите и услугите, предоставяни посредством дадена икономическа дейност</w:t>
      </w:r>
      <w:r w:rsidR="002262CD" w:rsidRPr="00485003">
        <w:rPr>
          <w:rFonts w:ascii="Times New Roman" w:hAnsi="Times New Roman"/>
          <w:sz w:val="24"/>
          <w:szCs w:val="24"/>
        </w:rPr>
        <w:t xml:space="preserve">, </w:t>
      </w:r>
      <w:r w:rsidRPr="00485003">
        <w:rPr>
          <w:rFonts w:ascii="Times New Roman" w:hAnsi="Times New Roman"/>
          <w:sz w:val="24"/>
          <w:szCs w:val="24"/>
        </w:rPr>
        <w:t>се приема, че дейност</w:t>
      </w:r>
      <w:r w:rsidR="00A721A0" w:rsidRPr="00485003">
        <w:rPr>
          <w:rFonts w:ascii="Times New Roman" w:hAnsi="Times New Roman"/>
          <w:sz w:val="24"/>
          <w:szCs w:val="24"/>
        </w:rPr>
        <w:t>та</w:t>
      </w:r>
      <w:r w:rsidRPr="00485003">
        <w:rPr>
          <w:rFonts w:ascii="Times New Roman" w:hAnsi="Times New Roman"/>
          <w:sz w:val="24"/>
          <w:szCs w:val="24"/>
        </w:rPr>
        <w:t xml:space="preserve"> нанася значителни вреди</w:t>
      </w:r>
      <w:r w:rsidR="00A721A0" w:rsidRPr="00485003">
        <w:rPr>
          <w:rFonts w:ascii="Times New Roman" w:hAnsi="Times New Roman"/>
          <w:sz w:val="24"/>
          <w:szCs w:val="24"/>
        </w:rPr>
        <w:t xml:space="preserve"> за някой от шестте екологични цели</w:t>
      </w:r>
      <w:r w:rsidR="002262CD" w:rsidRPr="00485003">
        <w:rPr>
          <w:rFonts w:ascii="Times New Roman" w:hAnsi="Times New Roman"/>
          <w:sz w:val="24"/>
          <w:szCs w:val="24"/>
        </w:rPr>
        <w:t xml:space="preserve">, и съответно </w:t>
      </w:r>
      <w:r w:rsidR="002262CD" w:rsidRPr="00485003">
        <w:rPr>
          <w:rFonts w:ascii="Times New Roman" w:hAnsi="Times New Roman"/>
          <w:b/>
          <w:sz w:val="24"/>
          <w:szCs w:val="24"/>
        </w:rPr>
        <w:t xml:space="preserve">НЕ е налице спазването на принципа за </w:t>
      </w:r>
      <w:r w:rsidR="00EA0271" w:rsidRPr="00485003">
        <w:rPr>
          <w:rFonts w:ascii="Times New Roman" w:hAnsi="Times New Roman"/>
          <w:b/>
          <w:sz w:val="24"/>
          <w:szCs w:val="24"/>
        </w:rPr>
        <w:t>„ненанасяне на значителни вреди</w:t>
      </w:r>
      <w:r w:rsidR="00EA0271" w:rsidRPr="00485003">
        <w:rPr>
          <w:rFonts w:ascii="Times New Roman" w:hAnsi="Times New Roman"/>
          <w:b/>
          <w:sz w:val="24"/>
          <w:szCs w:val="24"/>
          <w:lang w:val="en-US"/>
        </w:rPr>
        <w:t>”</w:t>
      </w:r>
      <w:r w:rsidR="002262CD" w:rsidRPr="00485003">
        <w:rPr>
          <w:rFonts w:ascii="Times New Roman" w:hAnsi="Times New Roman"/>
          <w:sz w:val="24"/>
          <w:szCs w:val="24"/>
        </w:rPr>
        <w:t xml:space="preserve">, ако </w:t>
      </w:r>
      <w:r w:rsidRPr="00485003">
        <w:rPr>
          <w:rFonts w:ascii="Times New Roman" w:hAnsi="Times New Roman"/>
          <w:sz w:val="24"/>
          <w:szCs w:val="24"/>
        </w:rPr>
        <w:t>при:</w:t>
      </w:r>
    </w:p>
    <w:p w14:paraId="723C53D7" w14:textId="77777777" w:rsidR="002262CD" w:rsidRPr="00485003" w:rsidRDefault="002262CD" w:rsidP="00E44CEF">
      <w:pPr>
        <w:spacing w:after="120" w:line="276" w:lineRule="auto"/>
        <w:ind w:firstLine="709"/>
        <w:jc w:val="both"/>
        <w:rPr>
          <w:rFonts w:ascii="Times New Roman" w:hAnsi="Times New Roman"/>
          <w:sz w:val="24"/>
          <w:szCs w:val="24"/>
        </w:rPr>
      </w:pPr>
      <w:r w:rsidRPr="00485003">
        <w:rPr>
          <w:rFonts w:ascii="Times New Roman" w:hAnsi="Times New Roman"/>
          <w:b/>
          <w:sz w:val="24"/>
          <w:szCs w:val="24"/>
        </w:rPr>
        <w:t>1) смекчаването на изменението на климата</w:t>
      </w:r>
      <w:r w:rsidRPr="00485003">
        <w:rPr>
          <w:rFonts w:ascii="Times New Roman" w:hAnsi="Times New Roman"/>
          <w:sz w:val="24"/>
          <w:szCs w:val="24"/>
        </w:rPr>
        <w:t>, когато тази дейност води до значителни емисии на парникови газове;</w:t>
      </w:r>
    </w:p>
    <w:p w14:paraId="0F694097" w14:textId="77777777" w:rsidR="006564B8" w:rsidRPr="00485003" w:rsidRDefault="002262CD" w:rsidP="00E44CEF">
      <w:pPr>
        <w:spacing w:after="120" w:line="276" w:lineRule="auto"/>
        <w:ind w:firstLine="709"/>
        <w:jc w:val="both"/>
        <w:rPr>
          <w:rFonts w:ascii="Times New Roman" w:hAnsi="Times New Roman"/>
          <w:sz w:val="24"/>
          <w:szCs w:val="24"/>
        </w:rPr>
      </w:pPr>
      <w:r w:rsidRPr="00485003">
        <w:rPr>
          <w:rFonts w:ascii="Times New Roman" w:hAnsi="Times New Roman"/>
          <w:b/>
          <w:sz w:val="24"/>
          <w:szCs w:val="24"/>
        </w:rPr>
        <w:lastRenderedPageBreak/>
        <w:t>2) адаптирането към изменението на климата</w:t>
      </w:r>
      <w:r w:rsidRPr="00485003">
        <w:rPr>
          <w:rFonts w:ascii="Times New Roman" w:hAnsi="Times New Roman"/>
          <w:sz w:val="24"/>
          <w:szCs w:val="24"/>
        </w:rPr>
        <w:t>, когато тази дейност води до увеличаване на неблагоприятното въздействие на настоящия климат и на очаквания бъдещ климат върху самата дейност, или върху населението, природата или активите;</w:t>
      </w:r>
    </w:p>
    <w:p w14:paraId="53DFA078" w14:textId="77777777" w:rsidR="006564B8" w:rsidRPr="00485003" w:rsidRDefault="006564B8" w:rsidP="00E44CEF">
      <w:pPr>
        <w:spacing w:after="120" w:line="276" w:lineRule="auto"/>
        <w:ind w:firstLine="709"/>
        <w:jc w:val="both"/>
        <w:rPr>
          <w:rFonts w:ascii="Times New Roman" w:hAnsi="Times New Roman"/>
          <w:sz w:val="24"/>
          <w:szCs w:val="24"/>
        </w:rPr>
      </w:pPr>
      <w:r w:rsidRPr="00485003">
        <w:rPr>
          <w:rFonts w:ascii="Times New Roman" w:hAnsi="Times New Roman"/>
          <w:b/>
          <w:sz w:val="24"/>
          <w:szCs w:val="24"/>
        </w:rPr>
        <w:t>3</w:t>
      </w:r>
      <w:r w:rsidR="002262CD" w:rsidRPr="00485003">
        <w:rPr>
          <w:rFonts w:ascii="Times New Roman" w:hAnsi="Times New Roman"/>
          <w:b/>
          <w:sz w:val="24"/>
          <w:szCs w:val="24"/>
        </w:rPr>
        <w:t>) устойчивото използване и опазването на водните и морските ресурси</w:t>
      </w:r>
      <w:r w:rsidR="002262CD" w:rsidRPr="00485003">
        <w:rPr>
          <w:rFonts w:ascii="Times New Roman" w:hAnsi="Times New Roman"/>
          <w:sz w:val="24"/>
          <w:szCs w:val="24"/>
        </w:rPr>
        <w:t>, когато тази дейност влошава:</w:t>
      </w:r>
    </w:p>
    <w:p w14:paraId="451BFD9A" w14:textId="77777777" w:rsidR="006564B8" w:rsidRPr="00485003" w:rsidRDefault="006564B8" w:rsidP="00E44CEF">
      <w:pPr>
        <w:spacing w:after="120" w:line="276" w:lineRule="auto"/>
        <w:ind w:firstLine="709"/>
        <w:jc w:val="both"/>
        <w:rPr>
          <w:rFonts w:ascii="Times New Roman" w:hAnsi="Times New Roman"/>
          <w:sz w:val="24"/>
          <w:szCs w:val="24"/>
        </w:rPr>
      </w:pPr>
      <w:r w:rsidRPr="00485003">
        <w:rPr>
          <w:rFonts w:ascii="Times New Roman" w:hAnsi="Times New Roman"/>
          <w:sz w:val="24"/>
          <w:szCs w:val="24"/>
        </w:rPr>
        <w:t>-</w:t>
      </w:r>
      <w:r w:rsidR="002262CD" w:rsidRPr="00485003">
        <w:rPr>
          <w:rFonts w:ascii="Times New Roman" w:hAnsi="Times New Roman"/>
          <w:sz w:val="24"/>
          <w:szCs w:val="24"/>
        </w:rPr>
        <w:t xml:space="preserve"> доброто състояние или добрия екологичен потенциал на водните обекти, включително на п</w:t>
      </w:r>
      <w:r w:rsidR="00A62A1B" w:rsidRPr="00485003">
        <w:rPr>
          <w:rFonts w:ascii="Times New Roman" w:hAnsi="Times New Roman"/>
          <w:sz w:val="24"/>
          <w:szCs w:val="24"/>
        </w:rPr>
        <w:t>овърхностните и подземните води;</w:t>
      </w:r>
      <w:r w:rsidR="002262CD" w:rsidRPr="00485003">
        <w:rPr>
          <w:rFonts w:ascii="Times New Roman" w:hAnsi="Times New Roman"/>
          <w:sz w:val="24"/>
          <w:szCs w:val="24"/>
        </w:rPr>
        <w:t xml:space="preserve"> или</w:t>
      </w:r>
    </w:p>
    <w:p w14:paraId="5DDCC6E6" w14:textId="77777777" w:rsidR="006564B8" w:rsidRPr="00485003" w:rsidRDefault="006564B8" w:rsidP="00E44CEF">
      <w:pPr>
        <w:spacing w:after="120" w:line="276" w:lineRule="auto"/>
        <w:ind w:firstLine="709"/>
        <w:jc w:val="both"/>
        <w:rPr>
          <w:rFonts w:ascii="Times New Roman" w:hAnsi="Times New Roman"/>
          <w:sz w:val="24"/>
          <w:szCs w:val="24"/>
        </w:rPr>
      </w:pPr>
      <w:r w:rsidRPr="00485003">
        <w:rPr>
          <w:rFonts w:ascii="Times New Roman" w:hAnsi="Times New Roman"/>
          <w:sz w:val="24"/>
          <w:szCs w:val="24"/>
        </w:rPr>
        <w:t>-</w:t>
      </w:r>
      <w:r w:rsidR="002262CD" w:rsidRPr="00485003">
        <w:rPr>
          <w:rFonts w:ascii="Times New Roman" w:hAnsi="Times New Roman"/>
          <w:sz w:val="24"/>
          <w:szCs w:val="24"/>
        </w:rPr>
        <w:t xml:space="preserve"> доброто екологично състояние на морските води;</w:t>
      </w:r>
    </w:p>
    <w:p w14:paraId="79C74A1B" w14:textId="77777777" w:rsidR="006564B8" w:rsidRPr="00485003" w:rsidRDefault="006564B8" w:rsidP="00E44CEF">
      <w:pPr>
        <w:spacing w:after="120" w:line="276" w:lineRule="auto"/>
        <w:ind w:firstLine="709"/>
        <w:jc w:val="both"/>
        <w:rPr>
          <w:rFonts w:ascii="Times New Roman" w:hAnsi="Times New Roman"/>
          <w:sz w:val="24"/>
          <w:szCs w:val="24"/>
        </w:rPr>
      </w:pPr>
      <w:r w:rsidRPr="00485003">
        <w:rPr>
          <w:rFonts w:ascii="Times New Roman" w:hAnsi="Times New Roman"/>
          <w:b/>
          <w:sz w:val="24"/>
          <w:szCs w:val="24"/>
        </w:rPr>
        <w:t>4)</w:t>
      </w:r>
      <w:r w:rsidR="002262CD" w:rsidRPr="00485003">
        <w:rPr>
          <w:rFonts w:ascii="Times New Roman" w:hAnsi="Times New Roman"/>
          <w:b/>
          <w:sz w:val="24"/>
          <w:szCs w:val="24"/>
        </w:rPr>
        <w:t xml:space="preserve"> кръговата икономика</w:t>
      </w:r>
      <w:r w:rsidR="002262CD" w:rsidRPr="00485003">
        <w:rPr>
          <w:rFonts w:ascii="Times New Roman" w:hAnsi="Times New Roman"/>
          <w:sz w:val="24"/>
          <w:szCs w:val="24"/>
        </w:rPr>
        <w:t xml:space="preserve">, </w:t>
      </w:r>
      <w:r w:rsidR="002262CD" w:rsidRPr="00485003">
        <w:rPr>
          <w:rFonts w:ascii="Times New Roman" w:hAnsi="Times New Roman"/>
          <w:b/>
          <w:sz w:val="24"/>
          <w:szCs w:val="24"/>
        </w:rPr>
        <w:t>включително предотвратяването на образуването на отпадъци и тяхното рециклиране</w:t>
      </w:r>
      <w:r w:rsidR="002262CD" w:rsidRPr="00485003">
        <w:rPr>
          <w:rFonts w:ascii="Times New Roman" w:hAnsi="Times New Roman"/>
          <w:sz w:val="24"/>
          <w:szCs w:val="24"/>
        </w:rPr>
        <w:t>, когато:</w:t>
      </w:r>
    </w:p>
    <w:p w14:paraId="6D72E4DE" w14:textId="77777777" w:rsidR="006564B8" w:rsidRPr="00485003" w:rsidRDefault="006564B8" w:rsidP="00E44CEF">
      <w:pPr>
        <w:spacing w:after="120" w:line="276" w:lineRule="auto"/>
        <w:ind w:firstLine="709"/>
        <w:jc w:val="both"/>
        <w:rPr>
          <w:rFonts w:ascii="Times New Roman" w:hAnsi="Times New Roman"/>
          <w:sz w:val="24"/>
          <w:szCs w:val="24"/>
        </w:rPr>
      </w:pPr>
      <w:r w:rsidRPr="00485003">
        <w:rPr>
          <w:rFonts w:ascii="Times New Roman" w:hAnsi="Times New Roman"/>
          <w:sz w:val="24"/>
          <w:szCs w:val="24"/>
        </w:rPr>
        <w:t>-</w:t>
      </w:r>
      <w:r w:rsidR="002262CD" w:rsidRPr="00485003">
        <w:rPr>
          <w:rFonts w:ascii="Times New Roman" w:hAnsi="Times New Roman"/>
          <w:sz w:val="24"/>
          <w:szCs w:val="24"/>
        </w:rPr>
        <w:t xml:space="preserve"> тази дейност води до значителна неефективност при използването на материали или при прякото или непряко използване на природни ресурси като </w:t>
      </w:r>
      <w:proofErr w:type="spellStart"/>
      <w:r w:rsidR="002262CD" w:rsidRPr="00485003">
        <w:rPr>
          <w:rFonts w:ascii="Times New Roman" w:hAnsi="Times New Roman"/>
          <w:sz w:val="24"/>
          <w:szCs w:val="24"/>
        </w:rPr>
        <w:t>невъзобновяеми</w:t>
      </w:r>
      <w:proofErr w:type="spellEnd"/>
      <w:r w:rsidR="002262CD" w:rsidRPr="00485003">
        <w:rPr>
          <w:rFonts w:ascii="Times New Roman" w:hAnsi="Times New Roman"/>
          <w:sz w:val="24"/>
          <w:szCs w:val="24"/>
        </w:rPr>
        <w:t xml:space="preserve"> източници на енергия, суровини, вода и земя, на един или повече етапи от жизнения цикъл на продуктите, включително по отношение на трайността и на възможностите за поправка, осъвременяването, повторната употреба или рециклирането на продуктите;</w:t>
      </w:r>
    </w:p>
    <w:p w14:paraId="6BC30A9D" w14:textId="77777777" w:rsidR="006564B8" w:rsidRPr="00485003" w:rsidRDefault="006564B8" w:rsidP="00E44CEF">
      <w:pPr>
        <w:spacing w:after="120" w:line="276" w:lineRule="auto"/>
        <w:ind w:firstLine="709"/>
        <w:jc w:val="both"/>
        <w:rPr>
          <w:rFonts w:ascii="Times New Roman" w:hAnsi="Times New Roman"/>
          <w:sz w:val="24"/>
          <w:szCs w:val="24"/>
        </w:rPr>
      </w:pPr>
      <w:r w:rsidRPr="00485003">
        <w:rPr>
          <w:rFonts w:ascii="Times New Roman" w:hAnsi="Times New Roman"/>
          <w:sz w:val="24"/>
          <w:szCs w:val="24"/>
        </w:rPr>
        <w:t>-</w:t>
      </w:r>
      <w:r w:rsidR="002262CD" w:rsidRPr="00485003">
        <w:rPr>
          <w:rFonts w:ascii="Times New Roman" w:hAnsi="Times New Roman"/>
          <w:sz w:val="24"/>
          <w:szCs w:val="24"/>
        </w:rPr>
        <w:t xml:space="preserve"> тази дейност води до значително увеличаване на образуването, изгарянето или обезвреждането на отпадъци, с изключение на изгарянето на </w:t>
      </w:r>
      <w:proofErr w:type="spellStart"/>
      <w:r w:rsidR="002262CD" w:rsidRPr="00485003">
        <w:rPr>
          <w:rFonts w:ascii="Times New Roman" w:hAnsi="Times New Roman"/>
          <w:sz w:val="24"/>
          <w:szCs w:val="24"/>
        </w:rPr>
        <w:t>нерециклируеми</w:t>
      </w:r>
      <w:proofErr w:type="spellEnd"/>
      <w:r w:rsidR="002262CD" w:rsidRPr="00485003">
        <w:rPr>
          <w:rFonts w:ascii="Times New Roman" w:hAnsi="Times New Roman"/>
          <w:sz w:val="24"/>
          <w:szCs w:val="24"/>
        </w:rPr>
        <w:t xml:space="preserve"> опасни отпадъци; или</w:t>
      </w:r>
    </w:p>
    <w:p w14:paraId="347B0D84" w14:textId="77777777" w:rsidR="006564B8" w:rsidRPr="00485003" w:rsidRDefault="006564B8" w:rsidP="00E44CEF">
      <w:pPr>
        <w:spacing w:after="120" w:line="276" w:lineRule="auto"/>
        <w:ind w:firstLine="709"/>
        <w:jc w:val="both"/>
        <w:rPr>
          <w:rFonts w:ascii="Times New Roman" w:hAnsi="Times New Roman"/>
          <w:sz w:val="24"/>
          <w:szCs w:val="24"/>
        </w:rPr>
      </w:pPr>
      <w:r w:rsidRPr="00485003">
        <w:rPr>
          <w:rFonts w:ascii="Times New Roman" w:hAnsi="Times New Roman"/>
          <w:sz w:val="24"/>
          <w:szCs w:val="24"/>
        </w:rPr>
        <w:t>-</w:t>
      </w:r>
      <w:r w:rsidR="002262CD" w:rsidRPr="00485003">
        <w:rPr>
          <w:rFonts w:ascii="Times New Roman" w:hAnsi="Times New Roman"/>
          <w:sz w:val="24"/>
          <w:szCs w:val="24"/>
        </w:rPr>
        <w:t xml:space="preserve"> дългосрочното обезвреждане на отпадъци може да причини значителни и дългосрочни вреди на околната среда;</w:t>
      </w:r>
    </w:p>
    <w:p w14:paraId="6FC24AC1" w14:textId="77777777" w:rsidR="006564B8" w:rsidRPr="00485003" w:rsidRDefault="006564B8" w:rsidP="00E44CEF">
      <w:pPr>
        <w:spacing w:after="120" w:line="276" w:lineRule="auto"/>
        <w:ind w:firstLine="709"/>
        <w:jc w:val="both"/>
        <w:rPr>
          <w:rFonts w:ascii="Times New Roman" w:hAnsi="Times New Roman"/>
          <w:sz w:val="24"/>
          <w:szCs w:val="24"/>
        </w:rPr>
      </w:pPr>
      <w:r w:rsidRPr="00485003">
        <w:rPr>
          <w:rFonts w:ascii="Times New Roman" w:hAnsi="Times New Roman"/>
          <w:b/>
          <w:sz w:val="24"/>
          <w:szCs w:val="24"/>
        </w:rPr>
        <w:t>5</w:t>
      </w:r>
      <w:r w:rsidR="002262CD" w:rsidRPr="00485003">
        <w:rPr>
          <w:rFonts w:ascii="Times New Roman" w:hAnsi="Times New Roman"/>
          <w:b/>
          <w:sz w:val="24"/>
          <w:szCs w:val="24"/>
        </w:rPr>
        <w:t>) предотвратяването и контрола на замърсяването</w:t>
      </w:r>
      <w:r w:rsidR="002262CD" w:rsidRPr="00485003">
        <w:rPr>
          <w:rFonts w:ascii="Times New Roman" w:hAnsi="Times New Roman"/>
          <w:sz w:val="24"/>
          <w:szCs w:val="24"/>
        </w:rPr>
        <w:t>, когато тази дейност води до значително увеличение на емисиите на замърсители във въздуха, водата или почвата в сравнение с положението преди започването на дейността; или</w:t>
      </w:r>
    </w:p>
    <w:p w14:paraId="0BBACB19" w14:textId="77777777" w:rsidR="006564B8" w:rsidRPr="00485003" w:rsidRDefault="006564B8" w:rsidP="00E44CEF">
      <w:pPr>
        <w:spacing w:after="120" w:line="276" w:lineRule="auto"/>
        <w:ind w:firstLine="709"/>
        <w:jc w:val="both"/>
        <w:rPr>
          <w:rFonts w:ascii="Times New Roman" w:hAnsi="Times New Roman"/>
          <w:sz w:val="24"/>
          <w:szCs w:val="24"/>
        </w:rPr>
      </w:pPr>
      <w:r w:rsidRPr="00485003">
        <w:rPr>
          <w:rFonts w:ascii="Times New Roman" w:hAnsi="Times New Roman"/>
          <w:b/>
          <w:sz w:val="24"/>
          <w:szCs w:val="24"/>
        </w:rPr>
        <w:t>6</w:t>
      </w:r>
      <w:r w:rsidR="002262CD" w:rsidRPr="00485003">
        <w:rPr>
          <w:rFonts w:ascii="Times New Roman" w:hAnsi="Times New Roman"/>
          <w:b/>
          <w:sz w:val="24"/>
          <w:szCs w:val="24"/>
        </w:rPr>
        <w:t>) защитата и възстановяването на биологичното разнообразие и екосистемите</w:t>
      </w:r>
      <w:r w:rsidR="002262CD" w:rsidRPr="00485003">
        <w:rPr>
          <w:rFonts w:ascii="Times New Roman" w:hAnsi="Times New Roman"/>
          <w:sz w:val="24"/>
          <w:szCs w:val="24"/>
        </w:rPr>
        <w:t>, когато тази дейност:</w:t>
      </w:r>
    </w:p>
    <w:p w14:paraId="180E30A9" w14:textId="77777777" w:rsidR="006564B8" w:rsidRPr="00485003" w:rsidRDefault="006564B8" w:rsidP="00E44CEF">
      <w:pPr>
        <w:spacing w:after="120" w:line="276" w:lineRule="auto"/>
        <w:ind w:firstLine="709"/>
        <w:jc w:val="both"/>
        <w:rPr>
          <w:rFonts w:ascii="Times New Roman" w:hAnsi="Times New Roman"/>
          <w:sz w:val="24"/>
          <w:szCs w:val="24"/>
        </w:rPr>
      </w:pPr>
      <w:r w:rsidRPr="00485003">
        <w:rPr>
          <w:rFonts w:ascii="Times New Roman" w:hAnsi="Times New Roman"/>
          <w:sz w:val="24"/>
          <w:szCs w:val="24"/>
        </w:rPr>
        <w:t>-</w:t>
      </w:r>
      <w:r w:rsidR="002262CD" w:rsidRPr="00485003">
        <w:rPr>
          <w:rFonts w:ascii="Times New Roman" w:hAnsi="Times New Roman"/>
          <w:sz w:val="24"/>
          <w:szCs w:val="24"/>
        </w:rPr>
        <w:t xml:space="preserve"> влошава в значителна степен доброто състояние и устойчивостта на екосистемите; или</w:t>
      </w:r>
    </w:p>
    <w:p w14:paraId="736D8E2C" w14:textId="77777777" w:rsidR="002262CD" w:rsidRPr="00485003" w:rsidRDefault="006564B8" w:rsidP="00E44CEF">
      <w:pPr>
        <w:spacing w:after="120" w:line="276" w:lineRule="auto"/>
        <w:ind w:firstLine="709"/>
        <w:jc w:val="both"/>
        <w:rPr>
          <w:rFonts w:ascii="Times New Roman" w:hAnsi="Times New Roman"/>
          <w:sz w:val="24"/>
          <w:szCs w:val="24"/>
        </w:rPr>
      </w:pPr>
      <w:r w:rsidRPr="00485003">
        <w:rPr>
          <w:rFonts w:ascii="Times New Roman" w:hAnsi="Times New Roman"/>
          <w:sz w:val="24"/>
          <w:szCs w:val="24"/>
        </w:rPr>
        <w:t>-</w:t>
      </w:r>
      <w:r w:rsidR="002262CD" w:rsidRPr="00485003">
        <w:rPr>
          <w:rFonts w:ascii="Times New Roman" w:hAnsi="Times New Roman"/>
          <w:sz w:val="24"/>
          <w:szCs w:val="24"/>
        </w:rPr>
        <w:t xml:space="preserve"> влошава природозащитния статус на местообитанията и видовете, включително тези от интерес за Съюза.</w:t>
      </w:r>
    </w:p>
    <w:p w14:paraId="4CF41276" w14:textId="611924FC" w:rsidR="003C31CA" w:rsidRPr="00485003" w:rsidRDefault="00EF6A85" w:rsidP="008652E5">
      <w:pPr>
        <w:spacing w:after="120" w:line="276" w:lineRule="auto"/>
        <w:ind w:firstLine="709"/>
        <w:jc w:val="both"/>
        <w:rPr>
          <w:rFonts w:ascii="Times New Roman" w:hAnsi="Times New Roman"/>
          <w:sz w:val="24"/>
          <w:szCs w:val="24"/>
        </w:rPr>
      </w:pPr>
      <w:r w:rsidRPr="00485003">
        <w:rPr>
          <w:rFonts w:ascii="Times New Roman" w:hAnsi="Times New Roman"/>
          <w:sz w:val="24"/>
          <w:szCs w:val="24"/>
        </w:rPr>
        <w:t>Във връзка с ограниченията, посочени в</w:t>
      </w:r>
      <w:r w:rsidR="00C161DD" w:rsidRPr="00485003">
        <w:rPr>
          <w:rFonts w:ascii="Times New Roman" w:hAnsi="Times New Roman"/>
          <w:sz w:val="24"/>
          <w:szCs w:val="24"/>
        </w:rPr>
        <w:t xml:space="preserve"> Приложението към Решението, с което е одобрена оценката на Плана за възстановяване и устойчивост на България, и с</w:t>
      </w:r>
      <w:r w:rsidR="003C31CA" w:rsidRPr="00485003">
        <w:rPr>
          <w:rFonts w:ascii="Times New Roman" w:hAnsi="Times New Roman"/>
          <w:sz w:val="24"/>
          <w:szCs w:val="24"/>
        </w:rPr>
        <w:t xml:space="preserve"> </w:t>
      </w:r>
      <w:r w:rsidRPr="00485003">
        <w:rPr>
          <w:rFonts w:ascii="Times New Roman" w:hAnsi="Times New Roman"/>
          <w:sz w:val="24"/>
          <w:szCs w:val="24"/>
        </w:rPr>
        <w:t>оглед</w:t>
      </w:r>
      <w:r w:rsidR="00C161DD" w:rsidRPr="00485003">
        <w:rPr>
          <w:rFonts w:ascii="Times New Roman" w:hAnsi="Times New Roman"/>
          <w:sz w:val="24"/>
          <w:szCs w:val="24"/>
        </w:rPr>
        <w:t xml:space="preserve"> съответствие на процедура </w:t>
      </w:r>
      <w:r w:rsidR="00F01393" w:rsidRPr="00F01393">
        <w:rPr>
          <w:rFonts w:ascii="Times New Roman" w:hAnsi="Times New Roman"/>
          <w:sz w:val="24"/>
          <w:szCs w:val="24"/>
        </w:rPr>
        <w:t>BG-RRP-4.00</w:t>
      </w:r>
      <w:r w:rsidR="00D76437">
        <w:rPr>
          <w:rFonts w:ascii="Times New Roman" w:hAnsi="Times New Roman"/>
          <w:sz w:val="24"/>
          <w:szCs w:val="24"/>
        </w:rPr>
        <w:t>34</w:t>
      </w:r>
      <w:r w:rsidR="00F01393" w:rsidRPr="00F01393">
        <w:rPr>
          <w:rFonts w:ascii="Times New Roman" w:hAnsi="Times New Roman"/>
          <w:sz w:val="24"/>
          <w:szCs w:val="24"/>
        </w:rPr>
        <w:t xml:space="preserve"> "Национална инфраструктура за съхранение на електроенергия</w:t>
      </w:r>
      <w:r w:rsidR="00E36203">
        <w:rPr>
          <w:rFonts w:ascii="Times New Roman" w:hAnsi="Times New Roman"/>
          <w:sz w:val="24"/>
          <w:szCs w:val="24"/>
        </w:rPr>
        <w:t xml:space="preserve"> </w:t>
      </w:r>
      <w:r w:rsidR="00E36203" w:rsidRPr="00E36203">
        <w:rPr>
          <w:rFonts w:ascii="Times New Roman" w:hAnsi="Times New Roman"/>
          <w:sz w:val="24"/>
          <w:szCs w:val="24"/>
        </w:rPr>
        <w:t>от възобновяеми източници</w:t>
      </w:r>
      <w:r w:rsidR="00E36203">
        <w:t xml:space="preserve"> </w:t>
      </w:r>
      <w:r w:rsidR="00F01393" w:rsidRPr="00F01393">
        <w:rPr>
          <w:rFonts w:ascii="Times New Roman" w:hAnsi="Times New Roman"/>
          <w:sz w:val="24"/>
          <w:szCs w:val="24"/>
        </w:rPr>
        <w:t>" – Процедура 1</w:t>
      </w:r>
      <w:r w:rsidR="00F01393">
        <w:rPr>
          <w:rFonts w:ascii="Times New Roman" w:hAnsi="Times New Roman"/>
          <w:sz w:val="24"/>
          <w:szCs w:val="24"/>
          <w:lang w:val="en-US"/>
        </w:rPr>
        <w:t xml:space="preserve"> </w:t>
      </w:r>
      <w:r w:rsidR="00C161DD" w:rsidRPr="00485003">
        <w:rPr>
          <w:rFonts w:ascii="Times New Roman" w:hAnsi="Times New Roman"/>
          <w:sz w:val="24"/>
          <w:szCs w:val="24"/>
        </w:rPr>
        <w:t xml:space="preserve">с </w:t>
      </w:r>
      <w:r w:rsidRPr="00485003">
        <w:rPr>
          <w:rFonts w:ascii="Times New Roman" w:hAnsi="Times New Roman"/>
          <w:sz w:val="24"/>
          <w:szCs w:val="24"/>
        </w:rPr>
        <w:t xml:space="preserve">Известие на Комисията – „Технически насоки за прилагането на принципа за </w:t>
      </w:r>
      <w:r w:rsidR="00A05ADF" w:rsidRPr="00485003">
        <w:rPr>
          <w:rFonts w:ascii="Times New Roman" w:hAnsi="Times New Roman"/>
          <w:sz w:val="24"/>
          <w:szCs w:val="24"/>
        </w:rPr>
        <w:t>„ненанасяне на значителни вреди</w:t>
      </w:r>
      <w:r w:rsidR="00A05ADF" w:rsidRPr="00485003">
        <w:rPr>
          <w:rFonts w:ascii="Times New Roman" w:hAnsi="Times New Roman"/>
          <w:sz w:val="24"/>
          <w:szCs w:val="24"/>
          <w:lang w:val="en-US"/>
        </w:rPr>
        <w:t>”</w:t>
      </w:r>
      <w:r w:rsidRPr="00485003">
        <w:rPr>
          <w:rFonts w:ascii="Times New Roman" w:hAnsi="Times New Roman"/>
          <w:sz w:val="24"/>
          <w:szCs w:val="24"/>
        </w:rPr>
        <w:t xml:space="preserve"> съгласно Регламента за Механизма за възстановяв</w:t>
      </w:r>
      <w:r w:rsidR="00A05ADF" w:rsidRPr="00485003">
        <w:rPr>
          <w:rFonts w:ascii="Times New Roman" w:hAnsi="Times New Roman"/>
          <w:sz w:val="24"/>
          <w:szCs w:val="24"/>
        </w:rPr>
        <w:t>ане и устойчивост (2021/C58/01)</w:t>
      </w:r>
      <w:r w:rsidR="00A05ADF" w:rsidRPr="00485003">
        <w:rPr>
          <w:rFonts w:ascii="Times New Roman" w:hAnsi="Times New Roman"/>
          <w:sz w:val="24"/>
          <w:szCs w:val="24"/>
          <w:lang w:val="en-US"/>
        </w:rPr>
        <w:t>”</w:t>
      </w:r>
      <w:r w:rsidRPr="00485003">
        <w:rPr>
          <w:rFonts w:ascii="Times New Roman" w:hAnsi="Times New Roman"/>
          <w:sz w:val="24"/>
          <w:szCs w:val="24"/>
        </w:rPr>
        <w:t>,</w:t>
      </w:r>
      <w:r w:rsidR="003C31CA" w:rsidRPr="00485003">
        <w:rPr>
          <w:rFonts w:ascii="Times New Roman" w:hAnsi="Times New Roman"/>
          <w:sz w:val="24"/>
          <w:szCs w:val="24"/>
        </w:rPr>
        <w:t xml:space="preserve"> </w:t>
      </w:r>
      <w:r w:rsidR="00C161DD" w:rsidRPr="00485003">
        <w:rPr>
          <w:rFonts w:ascii="Times New Roman" w:hAnsi="Times New Roman"/>
          <w:sz w:val="24"/>
          <w:szCs w:val="24"/>
        </w:rPr>
        <w:t xml:space="preserve">и </w:t>
      </w:r>
      <w:r w:rsidR="003C31CA" w:rsidRPr="00485003">
        <w:rPr>
          <w:rFonts w:ascii="Times New Roman" w:hAnsi="Times New Roman"/>
          <w:sz w:val="24"/>
          <w:szCs w:val="24"/>
        </w:rPr>
        <w:t xml:space="preserve">гарантиране в максимална степен на спазването на принципа за </w:t>
      </w:r>
      <w:r w:rsidR="00C161DD" w:rsidRPr="00485003">
        <w:rPr>
          <w:rFonts w:ascii="Times New Roman" w:hAnsi="Times New Roman"/>
          <w:sz w:val="24"/>
          <w:szCs w:val="24"/>
        </w:rPr>
        <w:t>„</w:t>
      </w:r>
      <w:r w:rsidR="00A05ADF" w:rsidRPr="00485003">
        <w:rPr>
          <w:rFonts w:ascii="Times New Roman" w:hAnsi="Times New Roman"/>
          <w:sz w:val="24"/>
          <w:szCs w:val="24"/>
        </w:rPr>
        <w:t>ненанасяне на значителни вреди</w:t>
      </w:r>
      <w:r w:rsidR="00A05ADF" w:rsidRPr="00485003">
        <w:rPr>
          <w:rFonts w:ascii="Times New Roman" w:hAnsi="Times New Roman"/>
          <w:sz w:val="24"/>
          <w:szCs w:val="24"/>
          <w:lang w:val="en-US"/>
        </w:rPr>
        <w:t>”</w:t>
      </w:r>
      <w:r w:rsidR="003C31CA" w:rsidRPr="00485003">
        <w:rPr>
          <w:rFonts w:ascii="Times New Roman" w:hAnsi="Times New Roman"/>
          <w:sz w:val="24"/>
          <w:szCs w:val="24"/>
        </w:rPr>
        <w:t xml:space="preserve">, </w:t>
      </w:r>
      <w:r w:rsidRPr="00485003">
        <w:rPr>
          <w:rFonts w:ascii="Times New Roman" w:hAnsi="Times New Roman"/>
          <w:sz w:val="24"/>
          <w:szCs w:val="24"/>
        </w:rPr>
        <w:t>за целите на</w:t>
      </w:r>
      <w:r w:rsidR="00C161DD" w:rsidRPr="00485003">
        <w:rPr>
          <w:rFonts w:ascii="Times New Roman" w:hAnsi="Times New Roman"/>
          <w:sz w:val="24"/>
          <w:szCs w:val="24"/>
        </w:rPr>
        <w:t xml:space="preserve"> настоящата процедура няма да се подкрепят:</w:t>
      </w:r>
    </w:p>
    <w:p w14:paraId="4A752909" w14:textId="77777777" w:rsidR="003C31CA" w:rsidRPr="00485003" w:rsidRDefault="00C161DD" w:rsidP="003C31CA">
      <w:pPr>
        <w:spacing w:after="120" w:line="276" w:lineRule="auto"/>
        <w:ind w:firstLine="709"/>
        <w:jc w:val="both"/>
        <w:rPr>
          <w:rFonts w:ascii="Times New Roman" w:hAnsi="Times New Roman"/>
          <w:sz w:val="24"/>
          <w:szCs w:val="24"/>
        </w:rPr>
      </w:pPr>
      <w:r w:rsidRPr="00485003">
        <w:rPr>
          <w:rFonts w:ascii="Times New Roman" w:hAnsi="Times New Roman"/>
          <w:sz w:val="24"/>
          <w:szCs w:val="24"/>
        </w:rPr>
        <w:lastRenderedPageBreak/>
        <w:t>-</w:t>
      </w:r>
      <w:r w:rsidR="003C31CA" w:rsidRPr="00485003">
        <w:rPr>
          <w:rFonts w:ascii="Times New Roman" w:hAnsi="Times New Roman"/>
          <w:sz w:val="24"/>
          <w:szCs w:val="24"/>
        </w:rPr>
        <w:t xml:space="preserve"> дейностите и активите, свързани с изкопаеми горива, включително използване надолу по веригата</w:t>
      </w:r>
      <w:r w:rsidR="00AE7396" w:rsidRPr="00485003">
        <w:rPr>
          <w:rStyle w:val="FootnoteReference"/>
          <w:rFonts w:ascii="Times New Roman" w:hAnsi="Times New Roman"/>
          <w:sz w:val="24"/>
          <w:szCs w:val="24"/>
        </w:rPr>
        <w:footnoteReference w:id="2"/>
      </w:r>
      <w:r w:rsidR="003C31CA" w:rsidRPr="00485003">
        <w:rPr>
          <w:rFonts w:ascii="Times New Roman" w:hAnsi="Times New Roman"/>
          <w:sz w:val="24"/>
          <w:szCs w:val="24"/>
        </w:rPr>
        <w:t xml:space="preserve">; </w:t>
      </w:r>
    </w:p>
    <w:p w14:paraId="0BB414E4" w14:textId="5B80C892" w:rsidR="003C31CA" w:rsidRPr="00485003" w:rsidRDefault="00C161DD" w:rsidP="00AE7396">
      <w:pPr>
        <w:spacing w:after="120" w:line="276" w:lineRule="auto"/>
        <w:ind w:firstLine="709"/>
        <w:jc w:val="both"/>
        <w:rPr>
          <w:rFonts w:ascii="Times New Roman" w:hAnsi="Times New Roman"/>
          <w:sz w:val="24"/>
          <w:szCs w:val="24"/>
        </w:rPr>
      </w:pPr>
      <w:r w:rsidRPr="00485003">
        <w:rPr>
          <w:rFonts w:ascii="Times New Roman" w:hAnsi="Times New Roman"/>
          <w:sz w:val="24"/>
          <w:szCs w:val="24"/>
        </w:rPr>
        <w:t>-</w:t>
      </w:r>
      <w:r w:rsidR="003C31CA" w:rsidRPr="00485003">
        <w:rPr>
          <w:rFonts w:ascii="Times New Roman" w:hAnsi="Times New Roman"/>
          <w:sz w:val="24"/>
          <w:szCs w:val="24"/>
        </w:rPr>
        <w:t xml:space="preserve"> дейностите и активите по схемата на ЕС за търговия с емисии</w:t>
      </w:r>
      <w:r w:rsidR="00FA33B7" w:rsidRPr="00485003">
        <w:rPr>
          <w:rStyle w:val="FootnoteReference"/>
          <w:rFonts w:ascii="Times New Roman" w:hAnsi="Times New Roman"/>
          <w:sz w:val="24"/>
          <w:szCs w:val="24"/>
        </w:rPr>
        <w:footnoteReference w:id="3"/>
      </w:r>
      <w:r w:rsidR="0040728E" w:rsidRPr="00485003">
        <w:rPr>
          <w:rFonts w:ascii="Times New Roman" w:hAnsi="Times New Roman"/>
          <w:sz w:val="24"/>
          <w:szCs w:val="24"/>
        </w:rPr>
        <w:t>;</w:t>
      </w:r>
    </w:p>
    <w:p w14:paraId="16922168" w14:textId="77777777" w:rsidR="003C31CA" w:rsidRPr="00485003" w:rsidRDefault="00C161DD" w:rsidP="003C31CA">
      <w:pPr>
        <w:spacing w:after="120" w:line="276" w:lineRule="auto"/>
        <w:ind w:firstLine="709"/>
        <w:jc w:val="both"/>
        <w:rPr>
          <w:rFonts w:ascii="Times New Roman" w:hAnsi="Times New Roman"/>
          <w:sz w:val="24"/>
          <w:szCs w:val="24"/>
        </w:rPr>
      </w:pPr>
      <w:r w:rsidRPr="00485003">
        <w:rPr>
          <w:rFonts w:ascii="Times New Roman" w:hAnsi="Times New Roman"/>
          <w:sz w:val="24"/>
          <w:szCs w:val="24"/>
        </w:rPr>
        <w:t>-</w:t>
      </w:r>
      <w:r w:rsidR="003C31CA" w:rsidRPr="00485003">
        <w:rPr>
          <w:rFonts w:ascii="Times New Roman" w:hAnsi="Times New Roman"/>
          <w:sz w:val="24"/>
          <w:szCs w:val="24"/>
        </w:rPr>
        <w:t xml:space="preserve"> дейностите и активите, свързани със сметища, инсталации за изгаряне на отпадъци</w:t>
      </w:r>
      <w:r w:rsidRPr="00485003">
        <w:rPr>
          <w:rFonts w:ascii="Times New Roman" w:hAnsi="Times New Roman"/>
          <w:sz w:val="24"/>
          <w:szCs w:val="24"/>
          <w:vertAlign w:val="superscript"/>
          <w:lang w:val="en-US"/>
        </w:rPr>
        <w:footnoteReference w:id="4"/>
      </w:r>
      <w:r w:rsidR="003C31CA" w:rsidRPr="00485003">
        <w:rPr>
          <w:rFonts w:ascii="Times New Roman" w:hAnsi="Times New Roman"/>
          <w:sz w:val="24"/>
          <w:szCs w:val="24"/>
        </w:rPr>
        <w:t xml:space="preserve"> и заводи за механично-биологично третиране</w:t>
      </w:r>
      <w:r w:rsidRPr="00485003">
        <w:rPr>
          <w:rFonts w:ascii="Times New Roman" w:hAnsi="Times New Roman"/>
          <w:sz w:val="24"/>
          <w:szCs w:val="24"/>
          <w:vertAlign w:val="superscript"/>
          <w:lang w:val="en-US"/>
        </w:rPr>
        <w:footnoteReference w:id="5"/>
      </w:r>
      <w:r w:rsidRPr="00485003">
        <w:rPr>
          <w:rFonts w:ascii="Times New Roman" w:hAnsi="Times New Roman"/>
          <w:sz w:val="24"/>
          <w:szCs w:val="24"/>
        </w:rPr>
        <w:t>;</w:t>
      </w:r>
    </w:p>
    <w:p w14:paraId="7F185D8E" w14:textId="77777777" w:rsidR="003C31CA" w:rsidRPr="00485003" w:rsidRDefault="00C161DD" w:rsidP="003C31CA">
      <w:pPr>
        <w:spacing w:after="120" w:line="276" w:lineRule="auto"/>
        <w:ind w:firstLine="709"/>
        <w:jc w:val="both"/>
        <w:rPr>
          <w:rFonts w:ascii="Times New Roman" w:hAnsi="Times New Roman"/>
          <w:sz w:val="24"/>
          <w:szCs w:val="24"/>
          <w:lang w:val="en-US"/>
        </w:rPr>
      </w:pPr>
      <w:r w:rsidRPr="00485003">
        <w:rPr>
          <w:rFonts w:ascii="Times New Roman" w:hAnsi="Times New Roman"/>
          <w:sz w:val="24"/>
          <w:szCs w:val="24"/>
        </w:rPr>
        <w:t>-</w:t>
      </w:r>
      <w:r w:rsidR="003C31CA" w:rsidRPr="00485003">
        <w:rPr>
          <w:rFonts w:ascii="Times New Roman" w:hAnsi="Times New Roman"/>
          <w:sz w:val="24"/>
          <w:szCs w:val="24"/>
        </w:rPr>
        <w:t xml:space="preserve"> дейностите и активите, при които дългосрочното обезвреждане на отпадъци може да причини вреда на околната среда.</w:t>
      </w:r>
    </w:p>
    <w:p w14:paraId="0097A32A" w14:textId="6BC42C27" w:rsidR="000A6D9B" w:rsidRPr="00485003" w:rsidRDefault="000A6D9B" w:rsidP="00E44CEF">
      <w:pPr>
        <w:pStyle w:val="ListParagraph"/>
        <w:spacing w:after="120" w:line="276" w:lineRule="auto"/>
        <w:ind w:left="0" w:firstLine="709"/>
        <w:jc w:val="both"/>
        <w:rPr>
          <w:rFonts w:ascii="Times New Roman" w:hAnsi="Times New Roman"/>
          <w:sz w:val="24"/>
          <w:szCs w:val="24"/>
        </w:rPr>
      </w:pPr>
      <w:r w:rsidRPr="00485003">
        <w:rPr>
          <w:rFonts w:ascii="Times New Roman" w:hAnsi="Times New Roman"/>
          <w:sz w:val="24"/>
          <w:szCs w:val="24"/>
        </w:rPr>
        <w:t>С оглед на съответствието на мярката с техническите насоки „Ненанасяне на значителни вреди“ (2021/C58/01), се подкрепят само инвестиции, които съблюдават съответното законодателство на ЕС и национално законодателство в областта на околната среда.</w:t>
      </w:r>
    </w:p>
    <w:p w14:paraId="64CA1B6D" w14:textId="11122810" w:rsidR="00B9758F" w:rsidRPr="00485003" w:rsidRDefault="000B6072" w:rsidP="00E44CEF">
      <w:pPr>
        <w:pStyle w:val="ListParagraph"/>
        <w:spacing w:after="120" w:line="276" w:lineRule="auto"/>
        <w:ind w:left="0" w:firstLine="709"/>
        <w:jc w:val="both"/>
        <w:rPr>
          <w:rFonts w:ascii="Times New Roman" w:hAnsi="Times New Roman"/>
          <w:sz w:val="24"/>
          <w:szCs w:val="24"/>
        </w:rPr>
      </w:pPr>
      <w:r w:rsidRPr="00485003">
        <w:rPr>
          <w:rFonts w:ascii="Times New Roman" w:hAnsi="Times New Roman"/>
          <w:sz w:val="24"/>
          <w:szCs w:val="24"/>
        </w:rPr>
        <w:t>В съответствие с Регламента за Механизма за възстановяване и устойчивост и съответно, за да е налице спазване на принципа за „ненанасяне на значителни вреди</w:t>
      </w:r>
      <w:r w:rsidR="00A05ADF" w:rsidRPr="00485003">
        <w:rPr>
          <w:rFonts w:ascii="Times New Roman" w:hAnsi="Times New Roman"/>
          <w:sz w:val="24"/>
          <w:szCs w:val="24"/>
          <w:lang w:val="en-US"/>
        </w:rPr>
        <w:t>”</w:t>
      </w:r>
      <w:r w:rsidRPr="00485003">
        <w:rPr>
          <w:rFonts w:ascii="Times New Roman" w:hAnsi="Times New Roman"/>
          <w:sz w:val="24"/>
          <w:szCs w:val="24"/>
        </w:rPr>
        <w:t xml:space="preserve">, всички предвидени </w:t>
      </w:r>
      <w:r w:rsidR="00DE6316" w:rsidRPr="00485003">
        <w:rPr>
          <w:rFonts w:ascii="Times New Roman" w:hAnsi="Times New Roman"/>
          <w:sz w:val="24"/>
          <w:szCs w:val="24"/>
        </w:rPr>
        <w:t>инвестиции</w:t>
      </w:r>
      <w:r w:rsidRPr="00485003">
        <w:rPr>
          <w:rFonts w:ascii="Times New Roman" w:hAnsi="Times New Roman"/>
          <w:sz w:val="24"/>
          <w:szCs w:val="24"/>
        </w:rPr>
        <w:t xml:space="preserve"> от кандидатите (крайните получатели) по настоящата процедура, следва да не водят до значителни вреди за </w:t>
      </w:r>
      <w:r w:rsidR="007F019E" w:rsidRPr="00485003">
        <w:rPr>
          <w:rFonts w:ascii="Times New Roman" w:hAnsi="Times New Roman"/>
          <w:sz w:val="24"/>
          <w:szCs w:val="24"/>
        </w:rPr>
        <w:t>всеки един от горе</w:t>
      </w:r>
      <w:r w:rsidRPr="00485003">
        <w:rPr>
          <w:rFonts w:ascii="Times New Roman" w:hAnsi="Times New Roman"/>
          <w:sz w:val="24"/>
          <w:szCs w:val="24"/>
        </w:rPr>
        <w:t>посочените шест екологични цели.</w:t>
      </w:r>
      <w:r w:rsidR="00DE6316" w:rsidRPr="00485003">
        <w:rPr>
          <w:rFonts w:ascii="Times New Roman" w:hAnsi="Times New Roman"/>
          <w:sz w:val="24"/>
          <w:szCs w:val="24"/>
        </w:rPr>
        <w:t xml:space="preserve"> </w:t>
      </w:r>
    </w:p>
    <w:p w14:paraId="388B14C4" w14:textId="275CC51B" w:rsidR="00707B43" w:rsidRPr="00485003" w:rsidRDefault="00707B43" w:rsidP="00E44CEF">
      <w:pPr>
        <w:pStyle w:val="ListParagraph"/>
        <w:spacing w:after="120" w:line="276" w:lineRule="auto"/>
        <w:ind w:left="0" w:firstLine="709"/>
        <w:jc w:val="both"/>
        <w:rPr>
          <w:rFonts w:ascii="Times New Roman" w:hAnsi="Times New Roman"/>
          <w:sz w:val="24"/>
          <w:szCs w:val="24"/>
        </w:rPr>
      </w:pPr>
      <w:r w:rsidRPr="00485003">
        <w:rPr>
          <w:rFonts w:ascii="Times New Roman" w:hAnsi="Times New Roman"/>
          <w:b/>
          <w:sz w:val="24"/>
          <w:szCs w:val="24"/>
        </w:rPr>
        <w:t>Важно:</w:t>
      </w:r>
      <w:r w:rsidRPr="00485003">
        <w:rPr>
          <w:rFonts w:ascii="Times New Roman" w:hAnsi="Times New Roman"/>
          <w:sz w:val="24"/>
          <w:szCs w:val="24"/>
        </w:rPr>
        <w:t xml:space="preserve"> Съблюдаването на </w:t>
      </w:r>
      <w:r w:rsidRPr="00485003">
        <w:rPr>
          <w:rFonts w:ascii="Times New Roman" w:hAnsi="Times New Roman"/>
          <w:b/>
          <w:sz w:val="24"/>
          <w:szCs w:val="24"/>
        </w:rPr>
        <w:t xml:space="preserve">принципа за </w:t>
      </w:r>
      <w:r w:rsidR="00A05ADF" w:rsidRPr="00485003">
        <w:rPr>
          <w:rFonts w:ascii="Times New Roman" w:hAnsi="Times New Roman"/>
          <w:b/>
          <w:sz w:val="24"/>
          <w:szCs w:val="24"/>
        </w:rPr>
        <w:t>„ненанасяне на значителни вреди</w:t>
      </w:r>
      <w:r w:rsidR="00A05ADF" w:rsidRPr="00485003">
        <w:rPr>
          <w:rFonts w:ascii="Times New Roman" w:hAnsi="Times New Roman"/>
          <w:b/>
          <w:sz w:val="24"/>
          <w:szCs w:val="24"/>
          <w:lang w:val="en-US"/>
        </w:rPr>
        <w:t>”</w:t>
      </w:r>
      <w:r w:rsidR="003C05E1" w:rsidRPr="00485003">
        <w:rPr>
          <w:rFonts w:ascii="Times New Roman" w:hAnsi="Times New Roman"/>
          <w:b/>
          <w:sz w:val="24"/>
          <w:szCs w:val="24"/>
        </w:rPr>
        <w:t xml:space="preserve"> ще се проследява </w:t>
      </w:r>
      <w:r w:rsidRPr="00485003">
        <w:rPr>
          <w:rFonts w:ascii="Times New Roman" w:hAnsi="Times New Roman"/>
          <w:b/>
          <w:sz w:val="24"/>
          <w:szCs w:val="24"/>
        </w:rPr>
        <w:t>на етап изпълнение на проектите</w:t>
      </w:r>
      <w:r w:rsidRPr="00485003">
        <w:rPr>
          <w:rFonts w:ascii="Times New Roman" w:hAnsi="Times New Roman"/>
          <w:sz w:val="24"/>
          <w:szCs w:val="24"/>
        </w:rPr>
        <w:t>, като за удостоверяване на съответствието на инвестицията с посочения принцип крайните получатели ще подлежат на контрол</w:t>
      </w:r>
      <w:r w:rsidR="00C050E4" w:rsidRPr="00485003">
        <w:rPr>
          <w:rFonts w:ascii="Times New Roman" w:hAnsi="Times New Roman"/>
          <w:sz w:val="24"/>
          <w:szCs w:val="24"/>
        </w:rPr>
        <w:t xml:space="preserve"> от страна на СНД, включително, ако е необходимо, чрез изготвен от независим одитор технически доклад, за удостоверяване на спазването на изискванията на Техническите насоки за прилагането на принципа за „ненанасяне на значителни вреди“ съгласно Регламента за Механизма за възстановяване и устойчивост (2021/C 58/01) за сметка на бенефициента</w:t>
      </w:r>
      <w:r w:rsidRPr="00485003">
        <w:rPr>
          <w:rFonts w:ascii="Times New Roman" w:hAnsi="Times New Roman"/>
          <w:sz w:val="24"/>
          <w:szCs w:val="24"/>
        </w:rPr>
        <w:t>.</w:t>
      </w:r>
    </w:p>
    <w:p w14:paraId="2F633B00" w14:textId="77777777" w:rsidR="00240E2C" w:rsidRDefault="002D0B25" w:rsidP="00DE6316">
      <w:pPr>
        <w:pStyle w:val="ListParagraph"/>
        <w:spacing w:after="120" w:line="276" w:lineRule="auto"/>
        <w:ind w:left="0" w:firstLine="709"/>
        <w:jc w:val="both"/>
        <w:rPr>
          <w:rFonts w:ascii="Times New Roman" w:hAnsi="Times New Roman"/>
          <w:sz w:val="24"/>
          <w:szCs w:val="24"/>
        </w:rPr>
      </w:pPr>
      <w:r w:rsidRPr="00485003">
        <w:rPr>
          <w:rFonts w:ascii="Times New Roman" w:hAnsi="Times New Roman"/>
          <w:sz w:val="24"/>
          <w:szCs w:val="24"/>
        </w:rPr>
        <w:t xml:space="preserve">В контекста на Механизма за възстановяване и устойчивост преките и първичните непреки въздействия на дадена инвестиция (проект) са от значение за оценката съгласно принципа за ненанасяне на значителни вреди. Прякото въздействие може да отразява </w:t>
      </w:r>
      <w:r w:rsidRPr="00485003">
        <w:rPr>
          <w:rFonts w:ascii="Times New Roman" w:hAnsi="Times New Roman"/>
          <w:sz w:val="24"/>
          <w:szCs w:val="24"/>
        </w:rPr>
        <w:lastRenderedPageBreak/>
        <w:t xml:space="preserve">ефектите от мярката на проектно равнище (например </w:t>
      </w:r>
      <w:r w:rsidR="00F01393">
        <w:rPr>
          <w:rFonts w:ascii="Times New Roman" w:hAnsi="Times New Roman"/>
          <w:sz w:val="24"/>
          <w:szCs w:val="24"/>
        </w:rPr>
        <w:t>съоръжение за съхранение</w:t>
      </w:r>
      <w:r w:rsidRPr="00485003">
        <w:rPr>
          <w:rFonts w:ascii="Times New Roman" w:hAnsi="Times New Roman"/>
          <w:sz w:val="24"/>
          <w:szCs w:val="24"/>
        </w:rPr>
        <w:t xml:space="preserve">, защитена зона) или на системно равнище (напр. присъединителни съоръжения) и които възникват при изпълнението на инвестицията. Първичните непреки въздействия могат да отразяват ефекти, които възникват извън тези проекти или системи, и могат да се проявят след изпълнението на мярката или след календара на Механизма за възстановяване и устойчивост, но са разумно предвидими и уместни. За тази цел, всички кандидати следва да направят детайлен анализ и оценка (Приложение </w:t>
      </w:r>
      <w:r w:rsidR="00240E2C">
        <w:rPr>
          <w:rFonts w:ascii="Times New Roman" w:hAnsi="Times New Roman"/>
          <w:sz w:val="24"/>
          <w:szCs w:val="24"/>
        </w:rPr>
        <w:t>7</w:t>
      </w:r>
      <w:r w:rsidRPr="00485003">
        <w:rPr>
          <w:rFonts w:ascii="Times New Roman" w:hAnsi="Times New Roman"/>
          <w:sz w:val="24"/>
          <w:szCs w:val="24"/>
        </w:rPr>
        <w:t xml:space="preserve"> към Условията за кандидатстване), доколко реализирането на проектните предложения ще окаже пряко или непряко въздействие за спазването на шестте екологични цели от Регламента за таксономията. </w:t>
      </w:r>
    </w:p>
    <w:p w14:paraId="5FEEF4F2" w14:textId="141BC2F4" w:rsidR="002D0B25" w:rsidRPr="00485003" w:rsidRDefault="002D0B25" w:rsidP="00DE6316">
      <w:pPr>
        <w:pStyle w:val="ListParagraph"/>
        <w:spacing w:after="120" w:line="276" w:lineRule="auto"/>
        <w:ind w:left="0" w:firstLine="709"/>
        <w:jc w:val="both"/>
        <w:rPr>
          <w:rFonts w:ascii="Times New Roman" w:hAnsi="Times New Roman"/>
          <w:sz w:val="24"/>
          <w:szCs w:val="24"/>
        </w:rPr>
      </w:pPr>
      <w:r w:rsidRPr="00485003">
        <w:rPr>
          <w:rFonts w:ascii="Times New Roman" w:hAnsi="Times New Roman"/>
          <w:sz w:val="24"/>
          <w:szCs w:val="24"/>
        </w:rPr>
        <w:t>В допълнение към гореизложеното бихме искали да отбележим, че кандидати осъществяващи дейности и/или притежаващи активите по схемата на ЕС за търговия с емисии и изкопаеми горива, включително надолу по веригата, не са изключени от участие по процедур</w:t>
      </w:r>
      <w:r w:rsidR="00240E2C">
        <w:rPr>
          <w:rFonts w:ascii="Times New Roman" w:hAnsi="Times New Roman"/>
          <w:sz w:val="24"/>
          <w:szCs w:val="24"/>
        </w:rPr>
        <w:t xml:space="preserve">а </w:t>
      </w:r>
      <w:r w:rsidR="00240E2C" w:rsidRPr="00240E2C">
        <w:rPr>
          <w:rFonts w:ascii="Times New Roman" w:hAnsi="Times New Roman"/>
          <w:sz w:val="24"/>
          <w:szCs w:val="24"/>
        </w:rPr>
        <w:t>BG-RRP-4.00</w:t>
      </w:r>
      <w:r w:rsidR="0098278A">
        <w:rPr>
          <w:rFonts w:ascii="Times New Roman" w:hAnsi="Times New Roman"/>
          <w:sz w:val="24"/>
          <w:szCs w:val="24"/>
          <w:lang w:val="en-US"/>
        </w:rPr>
        <w:t>34</w:t>
      </w:r>
      <w:bookmarkStart w:id="0" w:name="_GoBack"/>
      <w:bookmarkEnd w:id="0"/>
      <w:r w:rsidR="00240E2C" w:rsidRPr="00240E2C">
        <w:rPr>
          <w:rFonts w:ascii="Times New Roman" w:hAnsi="Times New Roman"/>
          <w:sz w:val="24"/>
          <w:szCs w:val="24"/>
        </w:rPr>
        <w:t xml:space="preserve"> "Национална инфраструктура за съхранение на електроенергия</w:t>
      </w:r>
      <w:r w:rsidR="00E36203">
        <w:rPr>
          <w:rFonts w:ascii="Times New Roman" w:hAnsi="Times New Roman"/>
          <w:sz w:val="24"/>
          <w:szCs w:val="24"/>
        </w:rPr>
        <w:t xml:space="preserve"> </w:t>
      </w:r>
      <w:r w:rsidR="00E36203" w:rsidRPr="00E36203">
        <w:rPr>
          <w:rFonts w:ascii="Times New Roman" w:hAnsi="Times New Roman"/>
          <w:sz w:val="24"/>
          <w:szCs w:val="24"/>
        </w:rPr>
        <w:t>от възобновяеми източници</w:t>
      </w:r>
      <w:r w:rsidR="00E36203">
        <w:t xml:space="preserve"> </w:t>
      </w:r>
      <w:r w:rsidR="00240E2C" w:rsidRPr="00240E2C">
        <w:rPr>
          <w:rFonts w:ascii="Times New Roman" w:hAnsi="Times New Roman"/>
          <w:sz w:val="24"/>
          <w:szCs w:val="24"/>
        </w:rPr>
        <w:t>" – Процедура 1</w:t>
      </w:r>
      <w:r w:rsidR="00240E2C">
        <w:rPr>
          <w:rFonts w:ascii="Times New Roman" w:hAnsi="Times New Roman"/>
          <w:sz w:val="24"/>
          <w:szCs w:val="24"/>
        </w:rPr>
        <w:t xml:space="preserve">. </w:t>
      </w:r>
      <w:r w:rsidRPr="00485003">
        <w:rPr>
          <w:rFonts w:ascii="Times New Roman" w:hAnsi="Times New Roman"/>
          <w:sz w:val="24"/>
          <w:szCs w:val="24"/>
        </w:rPr>
        <w:t>Към тези кандидати остава изискването да докажат</w:t>
      </w:r>
      <w:r w:rsidR="00240E2C">
        <w:rPr>
          <w:rFonts w:ascii="Times New Roman" w:hAnsi="Times New Roman"/>
          <w:sz w:val="24"/>
          <w:szCs w:val="24"/>
        </w:rPr>
        <w:t>,</w:t>
      </w:r>
      <w:r w:rsidRPr="00485003">
        <w:rPr>
          <w:rFonts w:ascii="Times New Roman" w:hAnsi="Times New Roman"/>
          <w:sz w:val="24"/>
          <w:szCs w:val="24"/>
        </w:rPr>
        <w:t xml:space="preserve"> при възможност, че при реализирането на проектните предложения, принципа за НЗВ ще бъде спазен.</w:t>
      </w:r>
    </w:p>
    <w:p w14:paraId="4AA879D2" w14:textId="14142069" w:rsidR="00DE6316" w:rsidRPr="00485003" w:rsidRDefault="009B2846" w:rsidP="00DE6316">
      <w:pPr>
        <w:pStyle w:val="ListParagraph"/>
        <w:spacing w:after="120" w:line="276" w:lineRule="auto"/>
        <w:ind w:left="0" w:firstLine="709"/>
        <w:jc w:val="both"/>
        <w:rPr>
          <w:rFonts w:ascii="Times New Roman" w:hAnsi="Times New Roman"/>
          <w:sz w:val="24"/>
          <w:szCs w:val="24"/>
          <w:lang w:val="en-US"/>
        </w:rPr>
      </w:pPr>
      <w:r w:rsidRPr="00485003">
        <w:rPr>
          <w:rFonts w:ascii="Times New Roman" w:hAnsi="Times New Roman"/>
          <w:sz w:val="24"/>
          <w:szCs w:val="24"/>
        </w:rPr>
        <w:t>Допълнителна информация относно прилагането</w:t>
      </w:r>
      <w:r w:rsidR="00707B43" w:rsidRPr="00485003">
        <w:rPr>
          <w:rFonts w:ascii="Times New Roman" w:hAnsi="Times New Roman"/>
          <w:sz w:val="24"/>
          <w:szCs w:val="24"/>
        </w:rPr>
        <w:t xml:space="preserve"> на</w:t>
      </w:r>
      <w:r w:rsidR="00C47C4D" w:rsidRPr="00485003">
        <w:rPr>
          <w:rFonts w:ascii="Times New Roman" w:hAnsi="Times New Roman"/>
          <w:sz w:val="24"/>
          <w:szCs w:val="24"/>
        </w:rPr>
        <w:t xml:space="preserve"> </w:t>
      </w:r>
      <w:r w:rsidRPr="00485003">
        <w:rPr>
          <w:rFonts w:ascii="Times New Roman" w:hAnsi="Times New Roman"/>
          <w:sz w:val="24"/>
          <w:szCs w:val="24"/>
        </w:rPr>
        <w:t xml:space="preserve">принципа за </w:t>
      </w:r>
      <w:r w:rsidR="00A05ADF" w:rsidRPr="00485003">
        <w:rPr>
          <w:rFonts w:ascii="Times New Roman" w:hAnsi="Times New Roman"/>
          <w:sz w:val="24"/>
          <w:szCs w:val="24"/>
        </w:rPr>
        <w:t>„ненанасяне на значителни вреди</w:t>
      </w:r>
      <w:r w:rsidR="00A05ADF" w:rsidRPr="00485003">
        <w:rPr>
          <w:rFonts w:ascii="Times New Roman" w:hAnsi="Times New Roman"/>
          <w:sz w:val="24"/>
          <w:szCs w:val="24"/>
          <w:lang w:val="en-US"/>
        </w:rPr>
        <w:t>”</w:t>
      </w:r>
      <w:r w:rsidR="00A95615" w:rsidRPr="00485003">
        <w:rPr>
          <w:rFonts w:ascii="Times New Roman" w:hAnsi="Times New Roman"/>
          <w:sz w:val="24"/>
          <w:szCs w:val="24"/>
        </w:rPr>
        <w:t xml:space="preserve">,  </w:t>
      </w:r>
      <w:r w:rsidR="00707B43" w:rsidRPr="00485003">
        <w:rPr>
          <w:rFonts w:ascii="Times New Roman" w:hAnsi="Times New Roman"/>
          <w:sz w:val="24"/>
          <w:szCs w:val="24"/>
        </w:rPr>
        <w:t>може да бъде намерена в Регламента за таксономията и</w:t>
      </w:r>
      <w:r w:rsidR="00A95615" w:rsidRPr="00485003">
        <w:rPr>
          <w:rFonts w:ascii="Times New Roman" w:hAnsi="Times New Roman"/>
          <w:sz w:val="24"/>
          <w:szCs w:val="24"/>
        </w:rPr>
        <w:t xml:space="preserve"> в Известие на Комисията – „Технически насоки за прилагането на принципа за </w:t>
      </w:r>
      <w:r w:rsidR="00A05ADF" w:rsidRPr="00485003">
        <w:rPr>
          <w:rFonts w:ascii="Times New Roman" w:hAnsi="Times New Roman"/>
          <w:sz w:val="24"/>
          <w:szCs w:val="24"/>
        </w:rPr>
        <w:t>„ненанасяне на значителни вреди</w:t>
      </w:r>
      <w:r w:rsidR="00A05ADF" w:rsidRPr="00485003">
        <w:rPr>
          <w:rFonts w:ascii="Times New Roman" w:hAnsi="Times New Roman"/>
          <w:sz w:val="24"/>
          <w:szCs w:val="24"/>
          <w:lang w:val="en-US"/>
        </w:rPr>
        <w:t>”</w:t>
      </w:r>
      <w:r w:rsidR="00A95615" w:rsidRPr="00485003">
        <w:rPr>
          <w:rFonts w:ascii="Times New Roman" w:hAnsi="Times New Roman"/>
          <w:sz w:val="24"/>
          <w:szCs w:val="24"/>
        </w:rPr>
        <w:t xml:space="preserve"> съгласно Регламента за Механизма за възстановяване и устойчивост (2021/C58/01)</w:t>
      </w:r>
      <w:r w:rsidR="00A05ADF" w:rsidRPr="00485003">
        <w:rPr>
          <w:rFonts w:ascii="Times New Roman" w:hAnsi="Times New Roman"/>
          <w:sz w:val="24"/>
          <w:szCs w:val="24"/>
          <w:lang w:val="en-US"/>
        </w:rPr>
        <w:t>”</w:t>
      </w:r>
      <w:r w:rsidR="00707B43" w:rsidRPr="00485003">
        <w:rPr>
          <w:rFonts w:ascii="Times New Roman" w:hAnsi="Times New Roman"/>
          <w:sz w:val="24"/>
          <w:szCs w:val="24"/>
        </w:rPr>
        <w:t xml:space="preserve">, както и </w:t>
      </w:r>
      <w:r w:rsidR="00C47C4D" w:rsidRPr="00485003">
        <w:rPr>
          <w:rFonts w:ascii="Times New Roman" w:hAnsi="Times New Roman"/>
          <w:sz w:val="24"/>
          <w:szCs w:val="24"/>
        </w:rPr>
        <w:t xml:space="preserve">в </w:t>
      </w:r>
      <w:r w:rsidR="00707B43" w:rsidRPr="00485003">
        <w:rPr>
          <w:rFonts w:ascii="Times New Roman" w:hAnsi="Times New Roman"/>
          <w:sz w:val="24"/>
          <w:szCs w:val="24"/>
        </w:rPr>
        <w:t>свързаните с тях документи</w:t>
      </w:r>
      <w:r w:rsidR="00A95615" w:rsidRPr="00485003">
        <w:rPr>
          <w:rFonts w:ascii="Times New Roman" w:hAnsi="Times New Roman"/>
          <w:sz w:val="24"/>
          <w:szCs w:val="24"/>
        </w:rPr>
        <w:t>.</w:t>
      </w:r>
      <w:r w:rsidR="00240E2C" w:rsidRPr="00240E2C">
        <w:rPr>
          <w:rFonts w:ascii="Times New Roman" w:hAnsi="Times New Roman"/>
          <w:sz w:val="24"/>
          <w:szCs w:val="24"/>
        </w:rPr>
        <w:t xml:space="preserve"> </w:t>
      </w:r>
      <w:r w:rsidR="00240E2C" w:rsidRPr="00485003">
        <w:rPr>
          <w:rFonts w:ascii="Times New Roman" w:hAnsi="Times New Roman"/>
          <w:sz w:val="24"/>
          <w:szCs w:val="24"/>
        </w:rPr>
        <w:t xml:space="preserve">Техническите насоки са достъпни на български език на следния линк - </w:t>
      </w:r>
      <w:hyperlink r:id="rId9" w:history="1">
        <w:r w:rsidR="00240E2C" w:rsidRPr="00F62347">
          <w:rPr>
            <w:rStyle w:val="Hyperlink"/>
            <w:rFonts w:ascii="Times New Roman" w:hAnsi="Times New Roman"/>
            <w:sz w:val="24"/>
            <w:szCs w:val="24"/>
          </w:rPr>
          <w:t>https://eur-lex.europa.eu/legal-content/BG/TXT/?uri=CELEX%3A52021XC0218%2801%29</w:t>
        </w:r>
      </w:hyperlink>
      <w:r w:rsidR="00240E2C">
        <w:rPr>
          <w:rFonts w:ascii="Times New Roman" w:hAnsi="Times New Roman"/>
          <w:sz w:val="24"/>
          <w:szCs w:val="24"/>
          <w:lang w:val="en-US"/>
        </w:rPr>
        <w:t>.</w:t>
      </w:r>
    </w:p>
    <w:p w14:paraId="3C56463B" w14:textId="77777777" w:rsidR="009A0149" w:rsidRPr="00485003" w:rsidRDefault="009A0149" w:rsidP="00DE6316">
      <w:pPr>
        <w:pStyle w:val="ListParagraph"/>
        <w:spacing w:after="120" w:line="276" w:lineRule="auto"/>
        <w:ind w:left="0" w:firstLine="709"/>
        <w:jc w:val="both"/>
        <w:rPr>
          <w:rFonts w:ascii="Times New Roman" w:hAnsi="Times New Roman"/>
          <w:sz w:val="24"/>
          <w:szCs w:val="24"/>
        </w:rPr>
      </w:pPr>
    </w:p>
    <w:sectPr w:rsidR="009A0149" w:rsidRPr="00485003" w:rsidSect="00A95887">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51">
      <wne:macro wne:macroName="PROJECT.ZY_20_MAIN.ZYINSERTCROSSREF"/>
    </wne:keymap>
    <wne:keymap wne:kcmPrimary="0441">
      <wne:acd wne:acdName="acd1"/>
    </wne:keymap>
    <wne:keymap wne:kcmPrimary="0444">
      <wne:acd wne:acdName="acd3"/>
    </wne:keymap>
    <wne:keymap wne:kcmPrimary="0445">
      <wne:acd wne:acdName="acd8"/>
    </wne:keymap>
    <wne:keymap wne:kcmPrimary="0446">
      <wne:acd wne:acdName="acd4"/>
    </wne:keymap>
    <wne:keymap wne:kcmPrimary="0447">
      <wne:acd wne:acdName="acd5"/>
    </wne:keymap>
    <wne:keymap wne:kcmPrimary="0448">
      <wne:macro wne:macroName="PROJECT.ZY_90_RIBBON.SETLISTINGB"/>
    </wne:keymap>
    <wne:keymap wne:kcmPrimary="0449">
      <wne:acd wne:acdName="acd13"/>
    </wne:keymap>
    <wne:keymap wne:kcmPrimary="044A">
      <wne:macro wne:macroName="PROJECT.ZY_90_RIBBON.SETLISTINGD"/>
    </wne:keymap>
    <wne:keymap wne:kcmPrimary="044B">
      <wne:macro wne:macroName="PROJECT.ZY_90_RIBBON.SETLISTINGA"/>
    </wne:keymap>
    <wne:keymap wne:kcmPrimary="044C">
      <wne:macro wne:macroName="PROJECT.ZY_90_RIBBON.SETLISTINGI"/>
    </wne:keymap>
    <wne:keymap wne:kcmPrimary="044E">
      <wne:macro wne:macroName="PROJECT.ZY_20_MAIN.ZYNUMBERINWORDS"/>
    </wne:keymap>
    <wne:keymap wne:kcmPrimary="044F">
      <wne:acd wne:acdName="acd14"/>
    </wne:keymap>
    <wne:keymap wne:kcmPrimary="0450">
      <wne:acd wne:acdName="acd15"/>
    </wne:keymap>
    <wne:keymap wne:kcmPrimary="0451">
      <wne:acd wne:acdName="acd6"/>
    </wne:keymap>
    <wne:keymap wne:kcmPrimary="0452">
      <wne:acd wne:acdName="acd9"/>
    </wne:keymap>
    <wne:keymap wne:kcmPrimary="0453">
      <wne:acd wne:acdName="acd2"/>
    </wne:keymap>
    <wne:keymap wne:kcmPrimary="0454">
      <wne:acd wne:acdName="acd10"/>
    </wne:keymap>
    <wne:keymap wne:kcmPrimary="0455">
      <wne:acd wne:acdName="acd12"/>
    </wne:keymap>
    <wne:keymap wne:kcmPrimary="0457">
      <wne:acd wne:acdName="acd7"/>
    </wne:keymap>
    <wne:keymap wne:kcmPrimary="0458">
      <wne:acd wne:acdName="acd16"/>
    </wne:keymap>
    <wne:keymap wne:kcmPrimary="0459">
      <wne:acd wne:acdName="acd0"/>
    </wne:keymap>
    <wne:keymap wne:kcmPrimary="045A">
      <wne:acd wne:acdName="acd11"/>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Manifest>
  </wne:toolbars>
  <wne:acds>
    <wne:acd wne:argValue="AgBTAF8AdABlAHgAdAA=" wne:acdName="acd0" wne:fciIndexBasedOn="0065"/>
    <wne:acd wne:argValue="AgBTAF8AdABlAHgAdAAgADEA" wne:acdName="acd1" wne:fciIndexBasedOn="0065"/>
    <wne:acd wne:argValue="AgBTAF8AdABlAHgAdAAgADIA" wne:acdName="acd2" wne:fciIndexBasedOn="0065"/>
    <wne:acd wne:argValue="AgBTAF8AdABlAHgAdAAgADMA" wne:acdName="acd3" wne:fciIndexBasedOn="0065"/>
    <wne:acd wne:argValue="AgBTAF8AdABlAHgAdAAgADQA" wne:acdName="acd4" wne:fciIndexBasedOn="0065"/>
    <wne:acd wne:argValue="AgBTAF8AdABlAHgAdAAgADUA" wne:acdName="acd5" wne:fciIndexBasedOn="0065"/>
    <wne:acd wne:argValue="AgBTAF8AaABlAGEAZABpAG4AZwAgADEA" wne:acdName="acd6" wne:fciIndexBasedOn="0065"/>
    <wne:acd wne:argValue="AgBTAF8AaABlAGEAZABpAG4AZwAgADIA" wne:acdName="acd7" wne:fciIndexBasedOn="0065"/>
    <wne:acd wne:argValue="AgBTAF8AaABlAGEAZABpAG4AZwAgADMA" wne:acdName="acd8" wne:fciIndexBasedOn="0065"/>
    <wne:acd wne:argValue="AgBTAF8AaABlAGEAZABpAG4AZwAgADQA" wne:acdName="acd9" wne:fciIndexBasedOn="0065"/>
    <wne:acd wne:argValue="AgBTAF8AaABlAGEAZABpAG4AZwAgADUA" wne:acdName="acd10" wne:fciIndexBasedOn="0065"/>
    <wne:acd wne:argValue="AgBTAF8ATgB1AG0AYgBlAHIAZQBkACAAUABhAHIAYQBnAHIAYQBwAGgAIAAxAA==" wne:acdName="acd11" wne:fciIndexBasedOn="0065"/>
    <wne:acd wne:argValue="AgBTAF8ATgB1AG0AYgBlAHIAZQBkACAAUABhAHIAYQBnAHIAYQBwAGgAIAAyAA==" wne:acdName="acd12" wne:fciIndexBasedOn="0065"/>
    <wne:acd wne:argValue="AgBTAF8ATgB1AG0AYgBlAHIAZQBkACAAUABhAHIAYQBnAHIAYQBwAGgAIAAzAA==" wne:acdName="acd13" wne:fciIndexBasedOn="0065"/>
    <wne:acd wne:argValue="AgBTAF8ATgB1AG0AYgBlAHIAZQBkACAAUABhAHIAYQBnAHIAYQBwAGgAIAA0AA==" wne:acdName="acd14" wne:fciIndexBasedOn="0065"/>
    <wne:acd wne:argValue="AgBTAF8ATgB1AG0AYgBlAHIAZQBkACAAUABhAHIAYQBnAHIAYQBwAGgAIAA1AA==" wne:acdName="acd15" wne:fciIndexBasedOn="0065"/>
    <wne:acd wne:argValue="AgBTAF8AbQBhAHIAZwBpAG4AYQBsACAAbgB1AG0AYgBlAHIA" wne:acdName="acd16"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31B3E7" w14:textId="77777777" w:rsidR="00433405" w:rsidRDefault="00433405" w:rsidP="00402ACA">
      <w:pPr>
        <w:spacing w:after="0" w:line="240" w:lineRule="auto"/>
      </w:pPr>
      <w:r>
        <w:separator/>
      </w:r>
    </w:p>
  </w:endnote>
  <w:endnote w:type="continuationSeparator" w:id="0">
    <w:p w14:paraId="2F759EB6" w14:textId="77777777" w:rsidR="00433405" w:rsidRDefault="00433405"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C954D1" w14:textId="77777777" w:rsidR="00652F7D" w:rsidRDefault="00652F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2392264"/>
      <w:docPartObj>
        <w:docPartGallery w:val="Page Numbers (Bottom of Page)"/>
        <w:docPartUnique/>
      </w:docPartObj>
    </w:sdtPr>
    <w:sdtEndPr>
      <w:rPr>
        <w:noProof/>
      </w:rPr>
    </w:sdtEndPr>
    <w:sdtContent>
      <w:p w14:paraId="5B82974D" w14:textId="30CE1CB4" w:rsidR="00991CB4" w:rsidRDefault="006C46DB">
        <w:pPr>
          <w:pStyle w:val="Footer"/>
          <w:jc w:val="right"/>
        </w:pPr>
        <w:r>
          <w:fldChar w:fldCharType="begin"/>
        </w:r>
        <w:r w:rsidR="00991CB4">
          <w:instrText xml:space="preserve"> PAGE   \* MERGEFORMAT </w:instrText>
        </w:r>
        <w:r>
          <w:fldChar w:fldCharType="separate"/>
        </w:r>
        <w:r w:rsidR="0098278A">
          <w:rPr>
            <w:noProof/>
          </w:rPr>
          <w:t>3</w:t>
        </w:r>
        <w:r>
          <w:rPr>
            <w:noProof/>
          </w:rPr>
          <w:fldChar w:fldCharType="end"/>
        </w:r>
      </w:p>
    </w:sdtContent>
  </w:sdt>
  <w:p w14:paraId="3BF3566A" w14:textId="77777777" w:rsidR="008B1316" w:rsidRDefault="008B13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F2B73" w14:textId="77777777" w:rsidR="00652F7D" w:rsidRDefault="00652F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0EFE13" w14:textId="77777777" w:rsidR="00433405" w:rsidRDefault="00433405" w:rsidP="00402ACA">
      <w:pPr>
        <w:spacing w:after="0" w:line="240" w:lineRule="auto"/>
      </w:pPr>
      <w:r>
        <w:separator/>
      </w:r>
    </w:p>
  </w:footnote>
  <w:footnote w:type="continuationSeparator" w:id="0">
    <w:p w14:paraId="2129B076" w14:textId="77777777" w:rsidR="00433405" w:rsidRDefault="00433405" w:rsidP="00402ACA">
      <w:pPr>
        <w:spacing w:after="0" w:line="240" w:lineRule="auto"/>
      </w:pPr>
      <w:r>
        <w:continuationSeparator/>
      </w:r>
    </w:p>
  </w:footnote>
  <w:footnote w:id="1">
    <w:p w14:paraId="4A8B603B" w14:textId="77777777" w:rsidR="00B4545E" w:rsidRPr="00F01393" w:rsidRDefault="00B4545E">
      <w:pPr>
        <w:pStyle w:val="FootnoteText"/>
        <w:rPr>
          <w:rFonts w:ascii="Times New Roman" w:hAnsi="Times New Roman"/>
          <w:i/>
          <w:iCs/>
        </w:rPr>
      </w:pPr>
      <w:r w:rsidRPr="00F01393">
        <w:rPr>
          <w:rStyle w:val="FootnoteReference"/>
          <w:rFonts w:ascii="Times New Roman" w:hAnsi="Times New Roman"/>
          <w:i/>
          <w:iCs/>
        </w:rPr>
        <w:footnoteRef/>
      </w:r>
      <w:r w:rsidRPr="00F01393">
        <w:rPr>
          <w:rFonts w:ascii="Times New Roman" w:hAnsi="Times New Roman"/>
          <w:i/>
          <w:iCs/>
        </w:rPr>
        <w:t xml:space="preserve"> Регламент (ЕС) 2021/241 за създаване на Механизъм за възстановяване и устойчивост</w:t>
      </w:r>
    </w:p>
  </w:footnote>
  <w:footnote w:id="2">
    <w:p w14:paraId="3ABA7781" w14:textId="5955F125" w:rsidR="00AE7396" w:rsidRPr="00F01393" w:rsidRDefault="00AE7396" w:rsidP="00243E7A">
      <w:pPr>
        <w:pStyle w:val="FootnoteText"/>
        <w:jc w:val="both"/>
        <w:rPr>
          <w:rFonts w:ascii="Times New Roman" w:hAnsi="Times New Roman"/>
          <w:i/>
          <w:iCs/>
        </w:rPr>
      </w:pPr>
      <w:r>
        <w:rPr>
          <w:rStyle w:val="FootnoteReference"/>
        </w:rPr>
        <w:footnoteRef/>
      </w:r>
      <w:r>
        <w:t xml:space="preserve"> </w:t>
      </w:r>
      <w:r w:rsidRPr="00F01393">
        <w:rPr>
          <w:rFonts w:ascii="Times New Roman" w:hAnsi="Times New Roman"/>
          <w:i/>
          <w:iCs/>
        </w:rPr>
        <w:t xml:space="preserve">С изключение на проектите за производство на електроенергия и/или топлоенергия, както и на свързаната с тях инфраструктура за пренос и разпределение, използващи природен газ, които отговарят на условията, определени в Приложение III към техническите насоки </w:t>
      </w:r>
      <w:r w:rsidR="008A2B53" w:rsidRPr="00F01393">
        <w:rPr>
          <w:rFonts w:ascii="Times New Roman" w:hAnsi="Times New Roman"/>
          <w:i/>
          <w:iCs/>
        </w:rPr>
        <w:t>„Ненанасяне на значителни вреди</w:t>
      </w:r>
      <w:r w:rsidR="008A2B53" w:rsidRPr="00F01393">
        <w:rPr>
          <w:rFonts w:ascii="Times New Roman" w:hAnsi="Times New Roman"/>
          <w:i/>
          <w:iCs/>
          <w:lang w:val="en-US"/>
        </w:rPr>
        <w:t>”</w:t>
      </w:r>
      <w:r w:rsidRPr="00F01393">
        <w:rPr>
          <w:rFonts w:ascii="Times New Roman" w:hAnsi="Times New Roman"/>
          <w:i/>
          <w:iCs/>
        </w:rPr>
        <w:t xml:space="preserve"> (2021/C58/01).</w:t>
      </w:r>
    </w:p>
  </w:footnote>
  <w:footnote w:id="3">
    <w:p w14:paraId="769B7190" w14:textId="49BFB46C" w:rsidR="00FA33B7" w:rsidRPr="00F01393" w:rsidRDefault="00FA33B7" w:rsidP="00243E7A">
      <w:pPr>
        <w:pStyle w:val="FootnoteText"/>
        <w:jc w:val="both"/>
        <w:rPr>
          <w:rFonts w:ascii="Times New Roman" w:hAnsi="Times New Roman"/>
          <w:i/>
          <w:iCs/>
          <w:lang w:val="en-US"/>
        </w:rPr>
      </w:pPr>
      <w:r w:rsidRPr="00F01393">
        <w:rPr>
          <w:rStyle w:val="FootnoteReference"/>
          <w:rFonts w:ascii="Times New Roman" w:hAnsi="Times New Roman"/>
          <w:i/>
          <w:iCs/>
        </w:rPr>
        <w:footnoteRef/>
      </w:r>
      <w:r w:rsidRPr="00F01393">
        <w:rPr>
          <w:rFonts w:ascii="Times New Roman" w:hAnsi="Times New Roman"/>
          <w:i/>
          <w:iCs/>
        </w:rPr>
        <w:t xml:space="preserve"> Дейности и активи в рамките на Системата на ЕС за търговия с емисии (СТЕ), с които се постигат прогнозни емисии на парникови газове, не по-ниски от съответните референтни стойности</w:t>
      </w:r>
    </w:p>
  </w:footnote>
  <w:footnote w:id="4">
    <w:p w14:paraId="49906B5A" w14:textId="77777777" w:rsidR="00C161DD" w:rsidRPr="00F01393" w:rsidRDefault="00C161DD" w:rsidP="00C161DD">
      <w:pPr>
        <w:pStyle w:val="FootnoteText"/>
        <w:jc w:val="both"/>
        <w:rPr>
          <w:rFonts w:ascii="Times New Roman" w:hAnsi="Times New Roman"/>
          <w:i/>
          <w:iCs/>
        </w:rPr>
      </w:pPr>
      <w:r w:rsidRPr="00F01393">
        <w:rPr>
          <w:rStyle w:val="FootnoteReference"/>
          <w:rFonts w:ascii="Times New Roman" w:hAnsi="Times New Roman"/>
          <w:i/>
          <w:iCs/>
        </w:rPr>
        <w:footnoteRef/>
      </w:r>
      <w:r w:rsidRPr="00F01393">
        <w:rPr>
          <w:rFonts w:ascii="Times New Roman" w:hAnsi="Times New Roman"/>
          <w:i/>
          <w:iCs/>
        </w:rPr>
        <w:t xml:space="preserve"> Това изключение не се прилага за действия по тази мярка в инсталации, предназначени изключително за третиране на опасни отпадъци, които не подлежат на рециклиране, и за съществуващи инсталации, при които действията по тази мярка имат за цел повишаване на енергийната ефективност, улавяне на отработени газове за съхранение или използване или оползотворяване на материали от пепел от изгаряне, при условие че тези действия по тази мярка не водят до увеличаване на капацитета на инсталациите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5">
    <w:p w14:paraId="44732846" w14:textId="77777777" w:rsidR="00C161DD" w:rsidRPr="00F01393" w:rsidRDefault="00C161DD" w:rsidP="00C161DD">
      <w:pPr>
        <w:pStyle w:val="FootnoteText"/>
        <w:jc w:val="both"/>
        <w:rPr>
          <w:rFonts w:ascii="Times New Roman" w:hAnsi="Times New Roman"/>
          <w:i/>
          <w:iCs/>
          <w:lang w:val="en-US"/>
        </w:rPr>
      </w:pPr>
      <w:r w:rsidRPr="00F01393">
        <w:rPr>
          <w:rStyle w:val="FootnoteReference"/>
          <w:rFonts w:ascii="Times New Roman" w:hAnsi="Times New Roman"/>
          <w:i/>
          <w:iCs/>
        </w:rPr>
        <w:footnoteRef/>
      </w:r>
      <w:r w:rsidRPr="00F01393">
        <w:rPr>
          <w:rFonts w:ascii="Times New Roman" w:hAnsi="Times New Roman"/>
          <w:i/>
          <w:iCs/>
        </w:rPr>
        <w:t xml:space="preserve"> Това изключение не се прилага за действия по тази мярка в съществуващи заводи за механично биологично третиране, при които действията по тази мярка са предназначени за повишаване на енергийната ефективност или за модернизиране на дейностите по рециклиране на разделени отпадъци за компостиране на биоотпадъци и анаеробно разграждане на биоотпадъци, при условие че тези действия по тази мярка не водят до увеличаване на капацитета на предприятията за преработка на отпадъци или до удължаване на жизнения цикъл на инсталациите; доказателства за това се представят за всяка инсталация</w:t>
      </w:r>
      <w:r w:rsidR="003F127D" w:rsidRPr="00F01393">
        <w:rPr>
          <w:rFonts w:ascii="Times New Roman" w:hAnsi="Times New Roman"/>
          <w:i/>
          <w:i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63C2B" w14:textId="77777777" w:rsidR="00652F7D" w:rsidRDefault="00652F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FDCC3" w14:textId="6AAA000D" w:rsidR="00402ACA" w:rsidRDefault="00402ACA" w:rsidP="00402ACA">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18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8"/>
      <w:gridCol w:w="5926"/>
    </w:tblGrid>
    <w:tr w:rsidR="00A95887" w14:paraId="40C6A31C" w14:textId="77777777" w:rsidTr="00243E7A">
      <w:trPr>
        <w:trHeight w:val="1969"/>
      </w:trPr>
      <w:tc>
        <w:tcPr>
          <w:tcW w:w="4258" w:type="dxa"/>
        </w:tcPr>
        <w:p w14:paraId="67AEAAA5" w14:textId="77777777" w:rsidR="00A95887" w:rsidRDefault="00A95887" w:rsidP="00A95887">
          <w:pPr>
            <w:tabs>
              <w:tab w:val="center" w:pos="4153"/>
              <w:tab w:val="right" w:pos="9356"/>
            </w:tabs>
            <w:jc w:val="center"/>
            <w:rPr>
              <w:rFonts w:ascii="Candara" w:hAnsi="Candara" w:cs="Calibri"/>
              <w:b/>
              <w:bCs/>
              <w:snapToGrid w:val="0"/>
              <w:sz w:val="24"/>
            </w:rPr>
          </w:pPr>
          <w:r>
            <w:rPr>
              <w:noProof/>
              <w:lang w:eastAsia="bg-BG"/>
            </w:rPr>
            <w:drawing>
              <wp:anchor distT="0" distB="0" distL="114300" distR="114300" simplePos="0" relativeHeight="251659264" behindDoc="1" locked="0" layoutInCell="1" allowOverlap="1" wp14:anchorId="1F6C32E7" wp14:editId="14E99792">
                <wp:simplePos x="0" y="0"/>
                <wp:positionH relativeFrom="column">
                  <wp:posOffset>-3175</wp:posOffset>
                </wp:positionH>
                <wp:positionV relativeFrom="paragraph">
                  <wp:posOffset>7620</wp:posOffset>
                </wp:positionV>
                <wp:extent cx="1585595" cy="1146175"/>
                <wp:effectExtent l="0" t="0" r="0" b="0"/>
                <wp:wrapNone/>
                <wp:docPr id="1" name="Picture 1" descr="gerb_color_ME_bg_w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color_ME_bg_w2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5595" cy="1146175"/>
                        </a:xfrm>
                        <a:prstGeom prst="rect">
                          <a:avLst/>
                        </a:prstGeom>
                        <a:noFill/>
                        <a:ln>
                          <a:noFill/>
                        </a:ln>
                      </pic:spPr>
                    </pic:pic>
                  </a:graphicData>
                </a:graphic>
              </wp:anchor>
            </w:drawing>
          </w:r>
        </w:p>
      </w:tc>
      <w:tc>
        <w:tcPr>
          <w:tcW w:w="5926" w:type="dxa"/>
        </w:tcPr>
        <w:p w14:paraId="32D56D16" w14:textId="77777777" w:rsidR="00A95887" w:rsidRDefault="00A95887" w:rsidP="00A95887">
          <w:pPr>
            <w:tabs>
              <w:tab w:val="center" w:pos="4153"/>
              <w:tab w:val="right" w:pos="9356"/>
            </w:tabs>
            <w:jc w:val="center"/>
            <w:rPr>
              <w:rFonts w:cs="Arial"/>
              <w:b/>
              <w:bCs/>
              <w:snapToGrid w:val="0"/>
              <w:lang w:val="en-GB"/>
            </w:rPr>
          </w:pPr>
          <w:r>
            <w:rPr>
              <w:noProof/>
              <w:lang w:eastAsia="bg-BG"/>
            </w:rPr>
            <w:drawing>
              <wp:anchor distT="0" distB="0" distL="114300" distR="114300" simplePos="0" relativeHeight="251660288" behindDoc="1" locked="0" layoutInCell="1" allowOverlap="1" wp14:anchorId="606872BC" wp14:editId="22068711">
                <wp:simplePos x="0" y="0"/>
                <wp:positionH relativeFrom="column">
                  <wp:posOffset>592455</wp:posOffset>
                </wp:positionH>
                <wp:positionV relativeFrom="paragraph">
                  <wp:posOffset>207645</wp:posOffset>
                </wp:positionV>
                <wp:extent cx="2642235" cy="730250"/>
                <wp:effectExtent l="0" t="0" r="0" b="0"/>
                <wp:wrapNone/>
                <wp:docPr id="2" name="Picture 2"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G Финансирано от Европейския съюз_POS"/>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642235" cy="730250"/>
                        </a:xfrm>
                        <a:prstGeom prst="rect">
                          <a:avLst/>
                        </a:prstGeom>
                        <a:noFill/>
                        <a:ln>
                          <a:noFill/>
                        </a:ln>
                      </pic:spPr>
                    </pic:pic>
                  </a:graphicData>
                </a:graphic>
              </wp:anchor>
            </w:drawing>
          </w:r>
        </w:p>
      </w:tc>
    </w:tr>
  </w:tbl>
  <w:p w14:paraId="7D34F674" w14:textId="77777777" w:rsidR="00490C1E" w:rsidRDefault="00490C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ACA"/>
    <w:rsid w:val="00052C76"/>
    <w:rsid w:val="000A6D9B"/>
    <w:rsid w:val="000B6072"/>
    <w:rsid w:val="000C72E1"/>
    <w:rsid w:val="000F4DE9"/>
    <w:rsid w:val="00112ACA"/>
    <w:rsid w:val="001303E1"/>
    <w:rsid w:val="001C4400"/>
    <w:rsid w:val="002262CD"/>
    <w:rsid w:val="00234BB6"/>
    <w:rsid w:val="00240E2C"/>
    <w:rsid w:val="00243E7A"/>
    <w:rsid w:val="002665DE"/>
    <w:rsid w:val="002B055B"/>
    <w:rsid w:val="002D0B25"/>
    <w:rsid w:val="002D3045"/>
    <w:rsid w:val="0033559F"/>
    <w:rsid w:val="0035732F"/>
    <w:rsid w:val="00362144"/>
    <w:rsid w:val="00397070"/>
    <w:rsid w:val="003A2234"/>
    <w:rsid w:val="003A35BB"/>
    <w:rsid w:val="003C05E1"/>
    <w:rsid w:val="003C31CA"/>
    <w:rsid w:val="003C4032"/>
    <w:rsid w:val="003D1FDC"/>
    <w:rsid w:val="003E07BC"/>
    <w:rsid w:val="003E2AA6"/>
    <w:rsid w:val="003E4A81"/>
    <w:rsid w:val="003F11B3"/>
    <w:rsid w:val="003F127D"/>
    <w:rsid w:val="003F700C"/>
    <w:rsid w:val="00401AFD"/>
    <w:rsid w:val="00402ACA"/>
    <w:rsid w:val="0040632C"/>
    <w:rsid w:val="0040728E"/>
    <w:rsid w:val="00410461"/>
    <w:rsid w:val="0042512A"/>
    <w:rsid w:val="0042525A"/>
    <w:rsid w:val="00433405"/>
    <w:rsid w:val="00454C6D"/>
    <w:rsid w:val="00456C38"/>
    <w:rsid w:val="00485003"/>
    <w:rsid w:val="00487A24"/>
    <w:rsid w:val="00490C1E"/>
    <w:rsid w:val="00493BA5"/>
    <w:rsid w:val="004D78D8"/>
    <w:rsid w:val="00503BEF"/>
    <w:rsid w:val="00541617"/>
    <w:rsid w:val="005A2D63"/>
    <w:rsid w:val="005C6AC1"/>
    <w:rsid w:val="005F04C4"/>
    <w:rsid w:val="00622EF3"/>
    <w:rsid w:val="00645185"/>
    <w:rsid w:val="00652F7D"/>
    <w:rsid w:val="006564B8"/>
    <w:rsid w:val="00691015"/>
    <w:rsid w:val="006A535F"/>
    <w:rsid w:val="006A54F4"/>
    <w:rsid w:val="006B43D7"/>
    <w:rsid w:val="006C46DB"/>
    <w:rsid w:val="006E063B"/>
    <w:rsid w:val="00707B43"/>
    <w:rsid w:val="007159A1"/>
    <w:rsid w:val="007311CC"/>
    <w:rsid w:val="00734A59"/>
    <w:rsid w:val="00791E18"/>
    <w:rsid w:val="007F019E"/>
    <w:rsid w:val="00816DDA"/>
    <w:rsid w:val="008652E5"/>
    <w:rsid w:val="008A2B53"/>
    <w:rsid w:val="008B1316"/>
    <w:rsid w:val="008D06C3"/>
    <w:rsid w:val="008D4237"/>
    <w:rsid w:val="00917786"/>
    <w:rsid w:val="00971248"/>
    <w:rsid w:val="0098278A"/>
    <w:rsid w:val="0098334F"/>
    <w:rsid w:val="00991CB4"/>
    <w:rsid w:val="0099667C"/>
    <w:rsid w:val="009A0149"/>
    <w:rsid w:val="009B2846"/>
    <w:rsid w:val="009C5EB8"/>
    <w:rsid w:val="009D4213"/>
    <w:rsid w:val="009D49EC"/>
    <w:rsid w:val="00A049DA"/>
    <w:rsid w:val="00A05ADF"/>
    <w:rsid w:val="00A233EA"/>
    <w:rsid w:val="00A2514B"/>
    <w:rsid w:val="00A62A1B"/>
    <w:rsid w:val="00A721A0"/>
    <w:rsid w:val="00A81893"/>
    <w:rsid w:val="00A94C80"/>
    <w:rsid w:val="00A95615"/>
    <w:rsid w:val="00A95887"/>
    <w:rsid w:val="00AA22E0"/>
    <w:rsid w:val="00AB368B"/>
    <w:rsid w:val="00AD22F2"/>
    <w:rsid w:val="00AE7396"/>
    <w:rsid w:val="00B035FE"/>
    <w:rsid w:val="00B16862"/>
    <w:rsid w:val="00B175A1"/>
    <w:rsid w:val="00B4545E"/>
    <w:rsid w:val="00B9758F"/>
    <w:rsid w:val="00BA6C1C"/>
    <w:rsid w:val="00C050E4"/>
    <w:rsid w:val="00C13066"/>
    <w:rsid w:val="00C161DD"/>
    <w:rsid w:val="00C47C4D"/>
    <w:rsid w:val="00C5662F"/>
    <w:rsid w:val="00C63107"/>
    <w:rsid w:val="00CA4DD0"/>
    <w:rsid w:val="00CA50C2"/>
    <w:rsid w:val="00CB6EF0"/>
    <w:rsid w:val="00D03AB3"/>
    <w:rsid w:val="00D401B9"/>
    <w:rsid w:val="00D43F14"/>
    <w:rsid w:val="00D551E4"/>
    <w:rsid w:val="00D64B9C"/>
    <w:rsid w:val="00D76437"/>
    <w:rsid w:val="00DE6316"/>
    <w:rsid w:val="00E066E6"/>
    <w:rsid w:val="00E12556"/>
    <w:rsid w:val="00E22914"/>
    <w:rsid w:val="00E36203"/>
    <w:rsid w:val="00E44CEF"/>
    <w:rsid w:val="00E530D5"/>
    <w:rsid w:val="00E80277"/>
    <w:rsid w:val="00E91B13"/>
    <w:rsid w:val="00EA0271"/>
    <w:rsid w:val="00EA40C7"/>
    <w:rsid w:val="00EF6A85"/>
    <w:rsid w:val="00F01393"/>
    <w:rsid w:val="00F02EE0"/>
    <w:rsid w:val="00F12A1D"/>
    <w:rsid w:val="00F150D2"/>
    <w:rsid w:val="00F318BD"/>
    <w:rsid w:val="00F3655F"/>
    <w:rsid w:val="00F4459A"/>
    <w:rsid w:val="00F51B8B"/>
    <w:rsid w:val="00F531A1"/>
    <w:rsid w:val="00F53AD0"/>
    <w:rsid w:val="00F616DE"/>
    <w:rsid w:val="00FA33B7"/>
    <w:rsid w:val="00FC0AF4"/>
    <w:rsid w:val="00FE6133"/>
    <w:rsid w:val="00FE770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67DB62"/>
  <w15:docId w15:val="{C9AD29C2-E400-44E7-ACFE-ECCB21D69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paragraph" w:styleId="Heading2">
    <w:name w:val="heading 2"/>
    <w:basedOn w:val="Normal"/>
    <w:next w:val="Normal"/>
    <w:link w:val="Heading2Char"/>
    <w:uiPriority w:val="9"/>
    <w:unhideWhenUsed/>
    <w:qFormat/>
    <w:rsid w:val="00F51B8B"/>
    <w:pPr>
      <w:keepLines/>
      <w:shd w:val="clear" w:color="auto" w:fill="C5E0B3"/>
      <w:spacing w:before="120" w:after="0" w:line="276" w:lineRule="auto"/>
      <w:jc w:val="both"/>
      <w:outlineLvl w:val="1"/>
    </w:pPr>
    <w:rPr>
      <w:rFonts w:ascii="Verdana" w:eastAsia="Times New Roman" w:hAnsi="Verdana"/>
      <w:b/>
      <w:smallCaps/>
      <w:spacing w:val="15"/>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iPriority w:val="99"/>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 w:type="table" w:styleId="TableGrid">
    <w:name w:val="Table Grid"/>
    <w:basedOn w:val="TableNormal"/>
    <w:uiPriority w:val="39"/>
    <w:rsid w:val="003C403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F51B8B"/>
    <w:rPr>
      <w:rFonts w:ascii="Verdana" w:eastAsia="Times New Roman" w:hAnsi="Verdana" w:cs="Times New Roman"/>
      <w:b/>
      <w:smallCaps/>
      <w:spacing w:val="15"/>
      <w:sz w:val="20"/>
      <w:szCs w:val="20"/>
      <w:shd w:val="clear" w:color="auto" w:fill="C5E0B3"/>
      <w:lang w:eastAsia="bg-BG"/>
    </w:rPr>
  </w:style>
  <w:style w:type="character" w:styleId="LineNumber">
    <w:name w:val="line number"/>
    <w:basedOn w:val="DefaultParagraphFont"/>
    <w:uiPriority w:val="99"/>
    <w:semiHidden/>
    <w:unhideWhenUsed/>
    <w:rsid w:val="00CA4DD0"/>
  </w:style>
  <w:style w:type="character" w:styleId="Hyperlink">
    <w:name w:val="Hyperlink"/>
    <w:basedOn w:val="DefaultParagraphFont"/>
    <w:uiPriority w:val="99"/>
    <w:unhideWhenUsed/>
    <w:rsid w:val="00485003"/>
    <w:rPr>
      <w:color w:val="0563C1" w:themeColor="hyperlink"/>
      <w:u w:val="single"/>
    </w:rPr>
  </w:style>
  <w:style w:type="character" w:customStyle="1" w:styleId="UnresolvedMention">
    <w:name w:val="Unresolved Mention"/>
    <w:basedOn w:val="DefaultParagraphFont"/>
    <w:uiPriority w:val="99"/>
    <w:semiHidden/>
    <w:unhideWhenUsed/>
    <w:rsid w:val="004850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eur-lex.europa.eu/legal-content/BG/TXT/?uri=CELEX%3A52021XC0218%2801%29"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35DF69-192B-438C-A41B-0C85CF4D2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1208</Words>
  <Characters>6890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ifilipova</cp:lastModifiedBy>
  <cp:revision>13</cp:revision>
  <cp:lastPrinted>2024-06-21T13:01:00Z</cp:lastPrinted>
  <dcterms:created xsi:type="dcterms:W3CDTF">2024-06-19T11:01:00Z</dcterms:created>
  <dcterms:modified xsi:type="dcterms:W3CDTF">2024-06-25T13:19:00Z</dcterms:modified>
</cp:coreProperties>
</file>